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10" w:rsidRDefault="00813410" w:rsidP="00813410">
      <w:pPr>
        <w:pStyle w:val="50"/>
        <w:shd w:val="clear" w:color="auto" w:fill="auto"/>
        <w:spacing w:before="0" w:after="0" w:line="360" w:lineRule="auto"/>
        <w:ind w:left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</w:p>
    <w:p w:rsidR="00813410" w:rsidRDefault="00813410" w:rsidP="00813410">
      <w:pPr>
        <w:pStyle w:val="50"/>
        <w:shd w:val="clear" w:color="auto" w:fill="auto"/>
        <w:spacing w:before="0" w:after="0" w:line="360" w:lineRule="auto"/>
        <w:ind w:left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bookmarkEnd w:id="0"/>
    <w:p w:rsidR="00813410" w:rsidRDefault="00813410" w:rsidP="00813410">
      <w:pPr>
        <w:pStyle w:val="50"/>
        <w:shd w:val="clear" w:color="auto" w:fill="auto"/>
        <w:spacing w:before="0" w:after="0" w:line="360" w:lineRule="auto"/>
        <w:ind w:left="5529"/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269D" w:rsidRPr="0037269D" w:rsidRDefault="0037269D" w:rsidP="00813410">
      <w:pPr>
        <w:pStyle w:val="50"/>
        <w:shd w:val="clear" w:color="auto" w:fill="auto"/>
        <w:spacing w:before="0" w:after="0" w:line="360" w:lineRule="auto"/>
        <w:ind w:left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269D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Національне агентство України </w:t>
      </w:r>
    </w:p>
    <w:p w:rsidR="0037269D" w:rsidRPr="0037269D" w:rsidRDefault="0037269D" w:rsidP="0037269D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7269D">
        <w:rPr>
          <w:rStyle w:val="5"/>
          <w:rFonts w:ascii="Times New Roman" w:hAnsi="Times New Roman" w:cs="Times New Roman"/>
          <w:color w:val="000000"/>
          <w:sz w:val="28"/>
          <w:szCs w:val="28"/>
          <w:lang w:val="uk-UA"/>
        </w:rPr>
        <w:t>з питань державної служби</w:t>
      </w:r>
    </w:p>
    <w:p w:rsidR="0037269D" w:rsidRPr="0037269D" w:rsidRDefault="0037269D" w:rsidP="0037269D">
      <w:pPr>
        <w:pStyle w:val="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269D" w:rsidRDefault="0037269D" w:rsidP="0037269D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пунктів 59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проведеного відповідно до наказу Державної служби морського та річкового транспорту України від 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грудня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 року № 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192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оголошення конкурсу на зайняття вакантн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посад державної служби категорі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«Б»</w:t>
      </w:r>
      <w:r w:rsidR="0040497C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«В»</w:t>
      </w:r>
      <w:r w:rsidRPr="0037269D">
        <w:rPr>
          <w:rStyle w:val="21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7269D" w:rsidRPr="0037269D" w:rsidTr="0026666C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269D" w:rsidRPr="0037269D" w:rsidRDefault="0037269D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Style w:val="212pt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40497C" w:rsidRPr="0037269D" w:rsidTr="003C1CD5">
        <w:trPr>
          <w:trHeight w:val="268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37269D" w:rsidRDefault="000F310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117959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F682F" w:rsidRPr="00BF682F" w:rsidRDefault="0040497C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контролю (нагляду) за безпекою судноплавства на морському та річковому транспорті в Чорноморському морському порту Чорноморського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</w:t>
            </w:r>
          </w:p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Ігорович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2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37269D" w:rsidTr="0026666C">
        <w:trPr>
          <w:trHeight w:val="83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37269D" w:rsidRDefault="000F310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державного контролю (нагляду) за безпекою судноплавства і </w:t>
            </w:r>
            <w:proofErr w:type="spellStart"/>
            <w:r>
              <w:rPr>
                <w:sz w:val="28"/>
                <w:szCs w:val="28"/>
                <w:lang w:val="uk-UA"/>
              </w:rPr>
              <w:t>дипломно</w:t>
            </w:r>
            <w:proofErr w:type="spellEnd"/>
            <w:r>
              <w:rPr>
                <w:sz w:val="28"/>
                <w:szCs w:val="28"/>
                <w:lang w:val="uk-UA"/>
              </w:rPr>
              <w:t>-паспортних та адміністративних послуг у сфері водного транспорту в Маріупольському морському порту Чорноморсько-Азовського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САЛЕНКО </w:t>
            </w:r>
          </w:p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37269D" w:rsidTr="0040497C">
        <w:trPr>
          <w:trHeight w:val="1268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97C" w:rsidRPr="0037269D" w:rsidRDefault="000F310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117961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40497C" w:rsidRPr="0037269D" w:rsidRDefault="0040497C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BF682F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контролю (нагляду) за безпекою судноплавства на морському та річковому </w:t>
            </w:r>
            <w:r>
              <w:rPr>
                <w:sz w:val="28"/>
                <w:szCs w:val="28"/>
                <w:lang w:val="uk-UA"/>
              </w:rPr>
              <w:lastRenderedPageBreak/>
              <w:t>транспорті в Бердянському морському порту Чорноморсько-Азовського міжрегіонального управління (перша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ТІЩЕНКО </w:t>
            </w:r>
          </w:p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40497C" w:rsidRPr="0037269D" w:rsidTr="0026666C">
        <w:trPr>
          <w:trHeight w:val="831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40497C" w:rsidRPr="0037269D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40497C" w:rsidRPr="0037269D" w:rsidRDefault="0040497C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МІТЧИК </w:t>
            </w:r>
          </w:p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Васильович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40497C" w:rsidRPr="0037269D" w:rsidTr="0086493B">
        <w:trPr>
          <w:trHeight w:val="2684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0497C" w:rsidRPr="0037269D" w:rsidRDefault="000F310C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497C" w:rsidRPr="0037269D" w:rsidRDefault="0040497C" w:rsidP="0026666C">
            <w:pPr>
              <w:spacing w:line="244" w:lineRule="exact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BF682F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контролю (нагляду) за безпекою судноплавства на морському та річковому транспорті в Бердянському морському порту Чорноморсько-Азовського міжрегіонального управління (друга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0497C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ОСАДЧУК </w:t>
            </w:r>
          </w:p>
          <w:p w:rsidR="0040497C" w:rsidRPr="0037269D" w:rsidRDefault="0040497C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0497C" w:rsidRPr="0037269D" w:rsidRDefault="00BF682F" w:rsidP="002666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0497C" w:rsidRPr="0037269D" w:rsidRDefault="00BF682F" w:rsidP="0026666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BF682F" w:rsidRPr="0037269D" w:rsidTr="00BF682F">
        <w:trPr>
          <w:trHeight w:val="1322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BF682F" w:rsidRPr="0037269D" w:rsidRDefault="000F310C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117963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0F310C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контролю (нагляду) за маломірними (малими) суднами та базами для їх стоянки Верхньодніпровського міжрегіонального управління (перша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ШАВЕРНЄВ</w:t>
            </w:r>
          </w:p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BF682F" w:rsidRPr="0037269D" w:rsidTr="00BF682F">
        <w:trPr>
          <w:trHeight w:val="1269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Сергій Анатолійович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BF682F" w:rsidRPr="0037269D" w:rsidTr="00BF682F">
        <w:trPr>
          <w:trHeight w:val="1259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BF682F" w:rsidRPr="0037269D" w:rsidRDefault="000F310C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117964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0F310C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контролю (нагляду) за маломірними (малими) суднами та базами для їх стоянки Верхньодніпровського міжрегіонального управління (друга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ШАВЕРНЄВ</w:t>
            </w:r>
          </w:p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BF682F" w:rsidRPr="0037269D" w:rsidTr="00BF682F">
        <w:trPr>
          <w:trHeight w:val="1263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ВАСКЕВИЧ </w:t>
            </w:r>
          </w:p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BF682F" w:rsidRPr="0037269D" w:rsidTr="00BF682F">
        <w:trPr>
          <w:trHeight w:val="1540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BF682F" w:rsidRPr="0037269D" w:rsidRDefault="000F310C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117965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 w:rsidR="000F310C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спеціаліст відділу контролю (нагляду) за маломірними (малими) суднами та базами для їх стоянки Верхньодніпровського міжрегіонального управління (третя посада)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САЙКО </w:t>
            </w:r>
          </w:p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 Семенович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BF682F" w:rsidRPr="0037269D" w:rsidTr="00BF682F">
        <w:trPr>
          <w:trHeight w:val="1393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BF682F" w:rsidRDefault="00BF682F" w:rsidP="00BF682F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Дмитро Сергійович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F682F" w:rsidRDefault="00BF682F" w:rsidP="00BF682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682F" w:rsidRPr="0037269D" w:rsidRDefault="00BF682F" w:rsidP="00BF682F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0F310C" w:rsidRPr="0037269D" w:rsidTr="000F310C">
        <w:trPr>
          <w:trHeight w:val="1256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117966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0F310C" w:rsidRDefault="000F310C" w:rsidP="000F310C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контролю (нагляду) за безпекою судноплавства на річковому транспорті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СУШКОВА </w:t>
            </w:r>
          </w:p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Павлівна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0F310C" w:rsidRPr="0037269D" w:rsidTr="000F310C">
        <w:trPr>
          <w:trHeight w:val="1134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0F310C" w:rsidRDefault="000F310C" w:rsidP="000F310C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БОРИСЕНКО </w:t>
            </w:r>
          </w:p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  <w:tr w:rsidR="000F310C" w:rsidRPr="0037269D" w:rsidTr="000F310C">
        <w:trPr>
          <w:trHeight w:val="1134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117967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0F310C" w:rsidRDefault="000F310C" w:rsidP="000F310C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контролю (нагляду) за маломірними (малими) суднами та базами для їх стоянки Нижньодніпровського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ЗАБОЛОТНИЙ Дмитро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 конкурсу</w:t>
            </w:r>
          </w:p>
        </w:tc>
      </w:tr>
      <w:tr w:rsidR="000F310C" w:rsidRPr="0037269D" w:rsidTr="000F310C">
        <w:trPr>
          <w:trHeight w:val="1134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0F310C" w:rsidRDefault="000F310C" w:rsidP="000F310C">
            <w:pPr>
              <w:spacing w:line="244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Олена Олегівна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F310C" w:rsidRDefault="000F310C" w:rsidP="000F31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10C" w:rsidRPr="0037269D" w:rsidRDefault="000F310C" w:rsidP="000F310C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за результатами конкурсу</w:t>
            </w:r>
          </w:p>
        </w:tc>
      </w:tr>
    </w:tbl>
    <w:p w:rsidR="0037269D" w:rsidRDefault="0037269D" w:rsidP="0037269D">
      <w:pPr>
        <w:rPr>
          <w:b/>
          <w:sz w:val="28"/>
          <w:szCs w:val="28"/>
          <w:lang w:val="uk-UA"/>
        </w:rPr>
      </w:pPr>
    </w:p>
    <w:p w:rsidR="000F310C" w:rsidRPr="0037269D" w:rsidRDefault="000F310C" w:rsidP="0037269D">
      <w:pPr>
        <w:rPr>
          <w:b/>
          <w:sz w:val="28"/>
          <w:szCs w:val="28"/>
          <w:lang w:val="uk-UA"/>
        </w:rPr>
      </w:pPr>
    </w:p>
    <w:p w:rsidR="0037269D" w:rsidRPr="0037269D" w:rsidRDefault="0037269D" w:rsidP="0037269D">
      <w:pPr>
        <w:rPr>
          <w:b/>
          <w:sz w:val="28"/>
          <w:szCs w:val="28"/>
          <w:lang w:val="uk-UA"/>
        </w:rPr>
      </w:pPr>
    </w:p>
    <w:p w:rsidR="0037269D" w:rsidRPr="0037269D" w:rsidRDefault="0037269D" w:rsidP="0037269D">
      <w:pPr>
        <w:rPr>
          <w:sz w:val="28"/>
          <w:szCs w:val="28"/>
          <w:lang w:val="uk-UA"/>
        </w:rPr>
      </w:pPr>
      <w:r w:rsidRPr="0037269D">
        <w:rPr>
          <w:sz w:val="28"/>
          <w:szCs w:val="28"/>
          <w:lang w:val="uk-UA"/>
        </w:rPr>
        <w:t>Голов</w:t>
      </w:r>
      <w:r w:rsidR="000F310C">
        <w:rPr>
          <w:sz w:val="28"/>
          <w:szCs w:val="28"/>
          <w:lang w:val="uk-UA"/>
        </w:rPr>
        <w:t>а</w:t>
      </w:r>
      <w:r w:rsidRPr="0037269D">
        <w:rPr>
          <w:sz w:val="28"/>
          <w:szCs w:val="28"/>
          <w:lang w:val="uk-UA"/>
        </w:rPr>
        <w:t xml:space="preserve"> </w:t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ab/>
      </w:r>
      <w:r w:rsidR="000F310C">
        <w:rPr>
          <w:sz w:val="28"/>
          <w:szCs w:val="28"/>
          <w:lang w:val="uk-UA"/>
        </w:rPr>
        <w:tab/>
      </w:r>
      <w:r w:rsidRPr="0037269D">
        <w:rPr>
          <w:sz w:val="28"/>
          <w:szCs w:val="28"/>
          <w:lang w:val="uk-UA"/>
        </w:rPr>
        <w:t xml:space="preserve"> Д. </w:t>
      </w:r>
      <w:r w:rsidR="000F310C">
        <w:rPr>
          <w:sz w:val="28"/>
          <w:szCs w:val="28"/>
          <w:lang w:val="uk-UA"/>
        </w:rPr>
        <w:t>ПЕТРЕНКО</w:t>
      </w:r>
    </w:p>
    <w:p w:rsidR="0037269D" w:rsidRPr="0037269D" w:rsidRDefault="0037269D" w:rsidP="0037269D">
      <w:pPr>
        <w:spacing w:before="120"/>
        <w:rPr>
          <w:sz w:val="28"/>
          <w:szCs w:val="28"/>
          <w:lang w:val="uk-UA"/>
        </w:rPr>
      </w:pPr>
    </w:p>
    <w:p w:rsidR="0037269D" w:rsidRDefault="0037269D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Default="000F310C" w:rsidP="0037269D">
      <w:pPr>
        <w:spacing w:before="120"/>
        <w:rPr>
          <w:sz w:val="28"/>
          <w:szCs w:val="28"/>
          <w:lang w:val="uk-UA"/>
        </w:rPr>
      </w:pPr>
    </w:p>
    <w:p w:rsidR="000F310C" w:rsidRPr="0037269D" w:rsidRDefault="000F310C" w:rsidP="0037269D">
      <w:pPr>
        <w:spacing w:before="120"/>
        <w:rPr>
          <w:sz w:val="28"/>
          <w:szCs w:val="28"/>
          <w:lang w:val="uk-UA"/>
        </w:rPr>
      </w:pPr>
    </w:p>
    <w:p w:rsidR="00575CBA" w:rsidRPr="000F310C" w:rsidRDefault="00575CBA" w:rsidP="000F310C">
      <w:pPr>
        <w:spacing w:before="120"/>
        <w:rPr>
          <w:sz w:val="16"/>
          <w:szCs w:val="28"/>
          <w:lang w:val="uk-UA"/>
        </w:rPr>
      </w:pPr>
    </w:p>
    <w:sectPr w:rsidR="00575CBA" w:rsidRPr="000F310C" w:rsidSect="001B5F8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9D"/>
    <w:rsid w:val="000F310C"/>
    <w:rsid w:val="00264293"/>
    <w:rsid w:val="0037269D"/>
    <w:rsid w:val="0040497C"/>
    <w:rsid w:val="0053623F"/>
    <w:rsid w:val="00575CBA"/>
    <w:rsid w:val="00813410"/>
    <w:rsid w:val="00825B6C"/>
    <w:rsid w:val="009977CE"/>
    <w:rsid w:val="00BF682F"/>
    <w:rsid w:val="00E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6A14"/>
  <w15:chartTrackingRefBased/>
  <w15:docId w15:val="{B0928207-D919-47CB-9E33-BF16A8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37269D"/>
    <w:rPr>
      <w:b/>
      <w:bCs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7269D"/>
    <w:rPr>
      <w:b/>
      <w:bCs/>
      <w:shd w:val="clear" w:color="auto" w:fill="FFFFFF"/>
    </w:rPr>
  </w:style>
  <w:style w:type="character" w:customStyle="1" w:styleId="21">
    <w:name w:val="Основной текст (2)_"/>
    <w:link w:val="210"/>
    <w:locked/>
    <w:rsid w:val="0037269D"/>
    <w:rPr>
      <w:shd w:val="clear" w:color="auto" w:fill="FFFFFF"/>
    </w:rPr>
  </w:style>
  <w:style w:type="character" w:customStyle="1" w:styleId="212pt">
    <w:name w:val="Основной текст (2) + 12 pt"/>
    <w:uiPriority w:val="99"/>
    <w:rsid w:val="0037269D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Заголовок №2"/>
    <w:basedOn w:val="a"/>
    <w:link w:val="2"/>
    <w:uiPriority w:val="99"/>
    <w:rsid w:val="0037269D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37269D"/>
    <w:pPr>
      <w:widowControl w:val="0"/>
      <w:shd w:val="clear" w:color="auto" w:fill="FFFFFF"/>
      <w:spacing w:before="540" w:after="240" w:line="317" w:lineRule="exact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paragraph" w:customStyle="1" w:styleId="210">
    <w:name w:val="Основной текст (2)1"/>
    <w:basedOn w:val="a"/>
    <w:link w:val="21"/>
    <w:rsid w:val="0037269D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726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Петровская</dc:creator>
  <cp:keywords/>
  <dc:description/>
  <cp:lastModifiedBy>Антон Курищук</cp:lastModifiedBy>
  <cp:revision>2</cp:revision>
  <cp:lastPrinted>2019-01-24T14:53:00Z</cp:lastPrinted>
  <dcterms:created xsi:type="dcterms:W3CDTF">2019-01-24T16:56:00Z</dcterms:created>
  <dcterms:modified xsi:type="dcterms:W3CDTF">2019-01-24T16:56:00Z</dcterms:modified>
</cp:coreProperties>
</file>