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31E" w14:textId="4D0D054B" w:rsidR="00ED4295" w:rsidRPr="00E649AD" w:rsidRDefault="00ED4295" w:rsidP="00E0143A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val="uk-UA"/>
        </w:rPr>
      </w:pPr>
      <w:r w:rsidRPr="00E649AD"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6230C3A0" w14:textId="77777777" w:rsidR="00ED4295" w:rsidRPr="00E649AD" w:rsidRDefault="00ED4295" w:rsidP="00E0143A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val="uk-UA"/>
        </w:rPr>
      </w:pPr>
      <w:r w:rsidRPr="00E649AD">
        <w:rPr>
          <w:rFonts w:ascii="Times New Roman" w:hAnsi="Times New Roman"/>
          <w:sz w:val="24"/>
          <w:szCs w:val="24"/>
          <w:lang w:val="uk-UA"/>
        </w:rPr>
        <w:t xml:space="preserve">до Антикорупційної програми Державної служби морського і внутрішнього водного транспорту та судноплавства України </w:t>
      </w:r>
      <w:r w:rsidRPr="00E649AD">
        <w:rPr>
          <w:rFonts w:ascii="Times New Roman" w:hAnsi="Times New Roman"/>
          <w:sz w:val="24"/>
          <w:szCs w:val="24"/>
          <w:lang w:val="uk-UA"/>
        </w:rPr>
        <w:br/>
        <w:t>на 2023–2025 роки</w:t>
      </w:r>
    </w:p>
    <w:p w14:paraId="66639C49" w14:textId="099B4C5A" w:rsidR="00990290" w:rsidRPr="00E649AD" w:rsidRDefault="00990290" w:rsidP="00E0143A">
      <w:pPr>
        <w:pStyle w:val="3"/>
        <w:spacing w:before="0" w:after="0" w:line="240" w:lineRule="auto"/>
        <w:ind w:left="1020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E649AD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(пункт 7 розділ</w:t>
      </w:r>
      <w:r w:rsidR="00553295" w:rsidRPr="00E649AD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у</w:t>
      </w:r>
      <w:r w:rsidRPr="00E649AD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ІІ)</w:t>
      </w:r>
    </w:p>
    <w:p w14:paraId="11FF0751" w14:textId="77777777" w:rsidR="00034026" w:rsidRPr="00E649AD" w:rsidRDefault="00034026" w:rsidP="00E649AD">
      <w:pPr>
        <w:spacing w:line="240" w:lineRule="auto"/>
        <w:rPr>
          <w:b/>
          <w:bCs/>
          <w:lang w:val="ru-RU"/>
        </w:rPr>
      </w:pPr>
    </w:p>
    <w:p w14:paraId="71AD051B" w14:textId="77777777" w:rsidR="00F70015" w:rsidRDefault="00DA7530" w:rsidP="00E649AD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0290">
        <w:rPr>
          <w:rFonts w:ascii="Times New Roman" w:hAnsi="Times New Roman"/>
          <w:color w:val="000000"/>
          <w:sz w:val="24"/>
          <w:szCs w:val="24"/>
          <w:lang w:val="uk-UA"/>
        </w:rPr>
        <w:t>РЕЄСТР РИЗИКІВ</w:t>
      </w:r>
      <w:r w:rsidR="00990290" w:rsidRPr="0099029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3468B1CD" w14:textId="5134CD18" w:rsidR="00DA7530" w:rsidRDefault="00990290" w:rsidP="00E0143A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0290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210446" w:rsidRPr="00990290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діяльності </w:t>
      </w:r>
      <w:r w:rsidR="000D6EFB">
        <w:rPr>
          <w:rFonts w:ascii="Times New Roman" w:hAnsi="Times New Roman"/>
          <w:color w:val="000000"/>
          <w:sz w:val="24"/>
          <w:szCs w:val="24"/>
          <w:lang w:val="uk-UA"/>
        </w:rPr>
        <w:t>Державної служби морського і внутрішнього водного транспорту та судноплавства України</w:t>
      </w:r>
      <w:r w:rsidR="00AA6B7C" w:rsidRPr="0099029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E5E02FB" w14:textId="77777777" w:rsidR="00F70015" w:rsidRPr="00E649AD" w:rsidRDefault="00F70015" w:rsidP="00E649AD">
      <w:pPr>
        <w:spacing w:line="240" w:lineRule="auto"/>
        <w:rPr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798"/>
        <w:gridCol w:w="847"/>
        <w:gridCol w:w="1448"/>
        <w:gridCol w:w="1276"/>
        <w:gridCol w:w="1469"/>
        <w:gridCol w:w="580"/>
        <w:gridCol w:w="580"/>
        <w:gridCol w:w="584"/>
        <w:gridCol w:w="1276"/>
        <w:gridCol w:w="638"/>
        <w:gridCol w:w="892"/>
        <w:gridCol w:w="786"/>
        <w:gridCol w:w="1246"/>
        <w:gridCol w:w="886"/>
        <w:gridCol w:w="608"/>
        <w:gridCol w:w="786"/>
      </w:tblGrid>
      <w:tr w:rsidR="0002653C" w:rsidRPr="00E649AD" w14:paraId="5140CF29" w14:textId="77777777" w:rsidTr="00E649AD">
        <w:trPr>
          <w:trHeight w:val="45"/>
          <w:tblCellSpacing w:w="0" w:type="auto"/>
        </w:trPr>
        <w:tc>
          <w:tcPr>
            <w:tcW w:w="138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</w:tcPr>
          <w:p w14:paraId="2F79D4C0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1136"/>
            <w:bookmarkEnd w:id="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6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6FE383F7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1137"/>
            <w:bookmarkEnd w:id="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Функція, процес організації</w:t>
            </w:r>
          </w:p>
        </w:tc>
        <w:tc>
          <w:tcPr>
            <w:tcW w:w="28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064AA01B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1138"/>
            <w:bookmarkEnd w:id="2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Корупційний ризик</w:t>
            </w:r>
          </w:p>
        </w:tc>
        <w:tc>
          <w:tcPr>
            <w:tcW w:w="47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77ECEB92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1139"/>
            <w:bookmarkEnd w:id="3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Зміст корупційного ризику</w:t>
            </w:r>
          </w:p>
        </w:tc>
        <w:tc>
          <w:tcPr>
            <w:tcW w:w="42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57162FFB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1140"/>
            <w:bookmarkEnd w:id="4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Джерело(а) корупційного ризику</w:t>
            </w:r>
          </w:p>
        </w:tc>
        <w:tc>
          <w:tcPr>
            <w:tcW w:w="486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093B986A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1141"/>
            <w:bookmarkEnd w:id="5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Існуючі заходи контролю</w:t>
            </w:r>
          </w:p>
        </w:tc>
        <w:tc>
          <w:tcPr>
            <w:tcW w:w="577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2C105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1142"/>
            <w:bookmarkEnd w:id="6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42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57C3C497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1143"/>
            <w:bookmarkEnd w:id="7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21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0C59C4A7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1144"/>
            <w:bookmarkEnd w:id="8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Терміни (строки) виконання заходів впливу на корупційний ризик</w:t>
            </w:r>
          </w:p>
        </w:tc>
        <w:tc>
          <w:tcPr>
            <w:tcW w:w="29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6AD9EE71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1145"/>
            <w:bookmarkEnd w:id="9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6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459D5299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1146"/>
            <w:bookmarkEnd w:id="1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Необхідні ресурси</w:t>
            </w:r>
          </w:p>
        </w:tc>
        <w:tc>
          <w:tcPr>
            <w:tcW w:w="41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3F7680A3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1147"/>
            <w:bookmarkEnd w:id="1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Індикатори виконання заходів впливу на корупційний ризик</w:t>
            </w:r>
          </w:p>
        </w:tc>
        <w:tc>
          <w:tcPr>
            <w:tcW w:w="754" w:type="pct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1CAE0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1148"/>
            <w:bookmarkEnd w:id="12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02653C" w:rsidRPr="00E649AD" w14:paraId="42D1C1E1" w14:textId="77777777" w:rsidTr="00E649AD">
        <w:trPr>
          <w:trHeight w:val="517"/>
          <w:tblCellSpacing w:w="0" w:type="auto"/>
        </w:trPr>
        <w:tc>
          <w:tcPr>
            <w:tcW w:w="13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58454A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670937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D95AF3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82D932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D3207D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9246A2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0DAC8BFF" w14:textId="0698814D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1149"/>
            <w:bookmarkEnd w:id="13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Рівень імовірності реалізації корупційного ризику 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(бал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«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х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»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2F8372A1" w14:textId="115BCF49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1150"/>
            <w:bookmarkEnd w:id="14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Рівень наслідків від реалізації корупційного ризику 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(бал 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«»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")</w:t>
            </w:r>
          </w:p>
        </w:tc>
        <w:tc>
          <w:tcPr>
            <w:tcW w:w="19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60D15EC8" w14:textId="23BA90C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1151"/>
            <w:bookmarkEnd w:id="15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корупційного ризику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(бал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 w:rsidR="007A6924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«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х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»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бал 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«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у</w:t>
            </w:r>
            <w:r w:rsidR="00547260"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»</w:t>
            </w:r>
            <w:r w:rsidRPr="00CC3D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2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2E05C2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9FBAEC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D2A23C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A6C1F9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6C2FC4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pct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7168E4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2653C" w:rsidRPr="00E649AD" w14:paraId="15757E1A" w14:textId="77777777" w:rsidTr="00E649AD">
        <w:trPr>
          <w:cantSplit/>
          <w:trHeight w:val="4192"/>
          <w:tblCellSpacing w:w="0" w:type="auto"/>
        </w:trPr>
        <w:tc>
          <w:tcPr>
            <w:tcW w:w="13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07A06B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A1EDE2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2FB5BD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5C0E2B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9860CA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C5DEB5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FD7782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DE8115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0AC7B7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9C7D17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77AB61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F681C6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DD8B74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3BCB29" w14:textId="77777777" w:rsidR="00DA7530" w:rsidRPr="00CC3D92" w:rsidRDefault="00DA7530" w:rsidP="00E649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57EDE4EC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1152"/>
            <w:bookmarkEnd w:id="16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5C74037B" w14:textId="73DC318B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1153"/>
            <w:bookmarkEnd w:id="17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Стан виконання заходів впливу на корупційний ризик (виконано / не виконано / </w:t>
            </w:r>
            <w:r w:rsidR="00951E5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частково)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14:paraId="69B6660A" w14:textId="77777777" w:rsidR="00DA7530" w:rsidRPr="00CC3D92" w:rsidRDefault="00DA7530" w:rsidP="00E649A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1154"/>
            <w:bookmarkEnd w:id="18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02653C" w:rsidRPr="00CC3D92" w14:paraId="57B3ADC1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737792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1155"/>
            <w:bookmarkEnd w:id="19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BF0ADD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1156"/>
            <w:bookmarkEnd w:id="2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06633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1157"/>
            <w:bookmarkEnd w:id="2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2D88EC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1158"/>
            <w:bookmarkEnd w:id="22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EA89C4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421B6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1160"/>
            <w:bookmarkEnd w:id="23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7E001D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1161"/>
            <w:bookmarkEnd w:id="24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D70677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1162"/>
            <w:bookmarkEnd w:id="25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1FEA56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1163"/>
            <w:bookmarkEnd w:id="26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6DA1C9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1164"/>
            <w:bookmarkEnd w:id="27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E46CDE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1165"/>
            <w:bookmarkEnd w:id="28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15A1D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1166"/>
            <w:bookmarkEnd w:id="29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ADFBA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1167"/>
            <w:bookmarkEnd w:id="3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5D091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1168"/>
            <w:bookmarkEnd w:id="3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5F1708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1169"/>
            <w:bookmarkEnd w:id="32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0344E7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1170"/>
            <w:bookmarkEnd w:id="33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773831" w14:textId="77777777" w:rsidR="00DA7530" w:rsidRPr="00CC3D92" w:rsidRDefault="00DA7530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1171"/>
            <w:bookmarkEnd w:id="34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02653C" w:rsidRPr="00E649AD" w14:paraId="4FF029E1" w14:textId="77777777" w:rsidTr="00E649AD">
        <w:trPr>
          <w:trHeight w:val="3300"/>
          <w:tblCellSpacing w:w="0" w:type="auto"/>
        </w:trPr>
        <w:tc>
          <w:tcPr>
            <w:tcW w:w="138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231DABFE" w14:textId="7E8A0165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1172"/>
            <w:bookmarkEnd w:id="35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 </w:t>
            </w:r>
          </w:p>
        </w:tc>
        <w:tc>
          <w:tcPr>
            <w:tcW w:w="264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445BF1CF" w14:textId="47EF79FE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1173"/>
            <w:bookmarkEnd w:id="36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Планування закупівель, формування тендерної документації</w:t>
            </w:r>
          </w:p>
        </w:tc>
        <w:tc>
          <w:tcPr>
            <w:tcW w:w="280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1658776E" w14:textId="1497DE65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1174"/>
            <w:bookmarkEnd w:id="37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Можливість завищення очікуваної вартості закупівлі </w:t>
            </w:r>
          </w:p>
        </w:tc>
        <w:tc>
          <w:tcPr>
            <w:tcW w:w="479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5AEA79A5" w14:textId="4750E0C8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1175"/>
            <w:bookmarkEnd w:id="38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Штучне завищення очікуваної вартості закупівлі в умовах попередньої змови потенційного постачальника та посадових осіб Адміністрації судноплавства з метою незаконного збагач</w:t>
            </w:r>
            <w:r w:rsidR="00951E5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ння </w:t>
            </w:r>
          </w:p>
        </w:tc>
        <w:tc>
          <w:tcPr>
            <w:tcW w:w="422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7049A21B" w14:textId="2E8228AD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1176"/>
            <w:bookmarkEnd w:id="39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Дискреційні повноваження щодо розрахунку очікуваної вартості закупівлі. Недоброчесність посадових осіб</w:t>
            </w:r>
          </w:p>
        </w:tc>
        <w:tc>
          <w:tcPr>
            <w:tcW w:w="486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53DCC69D" w14:textId="09129822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1177"/>
            <w:bookmarkEnd w:id="4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Контроль з боку уповноваженої особи із закупівель, Моніторинг процедури закупівлі Державною  аудиторською службою України</w:t>
            </w:r>
          </w:p>
        </w:tc>
        <w:tc>
          <w:tcPr>
            <w:tcW w:w="192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57BC68F3" w14:textId="7B64D805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1" w:name="1178"/>
            <w:bookmarkEnd w:id="4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Середній 2</w:t>
            </w:r>
          </w:p>
        </w:tc>
        <w:tc>
          <w:tcPr>
            <w:tcW w:w="192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72130C0A" w14:textId="5008A46A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2" w:name="1179"/>
            <w:bookmarkEnd w:id="42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Високий 3</w:t>
            </w:r>
          </w:p>
        </w:tc>
        <w:tc>
          <w:tcPr>
            <w:tcW w:w="193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5FC1CCB3" w14:textId="7C1F6EA6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3" w:name="1180"/>
            <w:bookmarkEnd w:id="43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6 </w:t>
            </w:r>
          </w:p>
        </w:tc>
        <w:tc>
          <w:tcPr>
            <w:tcW w:w="422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27CB9DA9" w14:textId="33F45E41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44" w:name="1181"/>
            <w:bookmarkEnd w:id="44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цін п</w:t>
            </w:r>
            <w:r w:rsidR="005A4DF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здійсненн</w:t>
            </w:r>
            <w:r w:rsidR="005A4DF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закупівель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з </w:t>
            </w:r>
            <w:r w:rsidR="00D529C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обов’язковим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наданням результатів моніторингу у складі </w:t>
            </w:r>
            <w:r w:rsidR="009547C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обґрунтування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необхідності внесення закупівлі до Річного плану</w:t>
            </w:r>
          </w:p>
          <w:p w14:paraId="28D6CC9D" w14:textId="07B94203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537477DA" w14:textId="38106712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5" w:name="1182"/>
            <w:bookmarkEnd w:id="45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Перед проведенням закупівлі 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</w:tcPr>
          <w:p w14:paraId="3626D7B6" w14:textId="3916B856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6" w:name="1183"/>
            <w:bookmarkEnd w:id="46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Відповідальний структурний підрозділ, який ініціює закупівлю, уповноважений із закупівель</w:t>
            </w:r>
          </w:p>
        </w:tc>
        <w:tc>
          <w:tcPr>
            <w:tcW w:w="260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0B2E4214" w14:textId="339545A6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7" w:name="1184"/>
            <w:bookmarkEnd w:id="47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межах наявних ресурсів </w:t>
            </w:r>
          </w:p>
        </w:tc>
        <w:tc>
          <w:tcPr>
            <w:tcW w:w="412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08A9AE65" w14:textId="40D0C2C6" w:rsidR="00DD31FB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8" w:name="1185"/>
            <w:bookmarkEnd w:id="48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r w:rsidR="009547C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обґрунтуванні</w:t>
            </w:r>
            <w:r w:rsidR="00D529C7"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необхідності внесення закупівлі  до Річного плану, яке подано уповноваженому із </w:t>
            </w:r>
            <w:r w:rsidR="00DD31F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закупівель, наведені результати моніторингу цін</w:t>
            </w:r>
          </w:p>
        </w:tc>
        <w:tc>
          <w:tcPr>
            <w:tcW w:w="293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709403D9" w14:textId="78A03250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9" w:name="1186"/>
            <w:bookmarkEnd w:id="49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щоразу перед проведенням процедури закупівлі </w:t>
            </w:r>
          </w:p>
        </w:tc>
        <w:tc>
          <w:tcPr>
            <w:tcW w:w="201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79648DA5" w14:textId="23CCF3A2" w:rsidR="00DD31FB" w:rsidRPr="00CC3D92" w:rsidRDefault="000B1AF6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0" w:name="1187"/>
            <w:bookmarkEnd w:id="50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DD31F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иконано </w:t>
            </w:r>
          </w:p>
        </w:tc>
        <w:tc>
          <w:tcPr>
            <w:tcW w:w="260" w:type="pct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14:paraId="219AEFD9" w14:textId="57E4BBCD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1188"/>
            <w:bookmarkEnd w:id="51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щодо 100% процедур закупівель, проведених Адміністрацією судноплавства у звітний період </w:t>
            </w:r>
          </w:p>
        </w:tc>
      </w:tr>
      <w:tr w:rsidR="0002653C" w:rsidRPr="00E649AD" w14:paraId="40DFC5B0" w14:textId="77777777" w:rsidTr="00E649AD">
        <w:trPr>
          <w:trHeight w:val="3032"/>
          <w:tblCellSpacing w:w="0" w:type="auto"/>
        </w:trPr>
        <w:tc>
          <w:tcPr>
            <w:tcW w:w="138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5FC3877C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6B318379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658DBA95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093BC943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55A4CEBA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2E9BA909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24B09497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254121ED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4EBF35FF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18875A9F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1BAC3738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14:paraId="226FB66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81246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65BDE8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69FACEA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B76685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9A6082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F6CB81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47ED6F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3FA539A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BCF146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6326EB6" w14:textId="77777777" w:rsidR="00C241CB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8CF0E53" w14:textId="2E74F4EC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7A655BB8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1D7C8C52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4E1FDD9C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37858FE0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14:paraId="19ED54ED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2653C" w:rsidRPr="00CC3D92" w14:paraId="483B1527" w14:textId="77777777" w:rsidTr="00E649AD">
        <w:trPr>
          <w:trHeight w:val="2895"/>
          <w:tblCellSpacing w:w="0" w:type="auto"/>
        </w:trPr>
        <w:tc>
          <w:tcPr>
            <w:tcW w:w="138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2A0228DA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2FE5EAB8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226A5F2D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5D1FC04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43BE07E9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C42430B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4512EF30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026ED763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7149A75C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</w:tcPr>
          <w:p w14:paraId="31A66FAF" w14:textId="53256709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Розроблення порядку проведення закупівель </w:t>
            </w:r>
          </w:p>
        </w:tc>
        <w:tc>
          <w:tcPr>
            <w:tcW w:w="211" w:type="pct"/>
            <w:vMerge/>
            <w:tcBorders>
              <w:left w:val="outset" w:sz="8" w:space="0" w:color="000000"/>
              <w:right w:val="outset" w:sz="8" w:space="0" w:color="000000"/>
            </w:tcBorders>
          </w:tcPr>
          <w:p w14:paraId="59174F56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</w:tcPr>
          <w:p w14:paraId="6E4B6A02" w14:textId="2B0BD267" w:rsidR="00FB59D9" w:rsidRPr="00CC3D92" w:rsidRDefault="00C241C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r w:rsidR="00A261F4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жений із закупівель </w:t>
            </w:r>
          </w:p>
        </w:tc>
        <w:tc>
          <w:tcPr>
            <w:tcW w:w="26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5E2ED1C6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45328D4B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F635375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08587D8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7DB94939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2653C" w:rsidRPr="00E649AD" w14:paraId="47DA919A" w14:textId="77777777" w:rsidTr="00E649AD">
        <w:trPr>
          <w:trHeight w:val="264"/>
          <w:tblCellSpacing w:w="0" w:type="auto"/>
        </w:trPr>
        <w:tc>
          <w:tcPr>
            <w:tcW w:w="138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A119198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F0B5C25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1DACECF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23CAD19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5CC96003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4753B51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10715F4E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861F4BF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10F7332F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</w:tcPr>
          <w:p w14:paraId="767345D9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vMerge/>
            <w:tcBorders>
              <w:left w:val="outset" w:sz="8" w:space="0" w:color="000000"/>
              <w:right w:val="outset" w:sz="8" w:space="0" w:color="000000"/>
            </w:tcBorders>
          </w:tcPr>
          <w:p w14:paraId="3F4B8361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</w:tcPr>
          <w:p w14:paraId="4EFBE94B" w14:textId="3A6E2DA1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Відповідальний структурний підрозділ, який ініціює закупівлю, уповноважений із закупівель</w:t>
            </w:r>
          </w:p>
        </w:tc>
        <w:tc>
          <w:tcPr>
            <w:tcW w:w="26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131BFE8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5C9C0311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682E9092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5D6D125F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14:paraId="3C669E7A" w14:textId="77777777" w:rsidR="00FB59D9" w:rsidRPr="00CC3D92" w:rsidRDefault="00FB59D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2653C" w:rsidRPr="00E649AD" w14:paraId="547BD46D" w14:textId="77777777" w:rsidTr="00E649AD">
        <w:trPr>
          <w:trHeight w:val="885"/>
          <w:tblCellSpacing w:w="0" w:type="auto"/>
        </w:trPr>
        <w:tc>
          <w:tcPr>
            <w:tcW w:w="138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06F65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E509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06244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A311F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2B6C18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EBC0C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0DE58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EA278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6BC0E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D3C8DD" w14:textId="51C992AD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</w:t>
            </w:r>
            <w:r w:rsidR="00FB59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користання Примірної методики визначення очікуваної вартості предмета закупівлі, затвердженої наказом </w:t>
            </w:r>
            <w:proofErr w:type="spellStart"/>
            <w:r w:rsidR="00FB59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</w:t>
            </w:r>
            <w:proofErr w:type="spellEnd"/>
            <w:r w:rsidR="00FB59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59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  <w:r w:rsidR="00FB59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розвитку економіки, торгівлі та сільського господарства України від 18.02.2020 №275</w:t>
            </w:r>
          </w:p>
        </w:tc>
        <w:tc>
          <w:tcPr>
            <w:tcW w:w="211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CD9E8E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486004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98364C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7C7F7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6F3E13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AD35BF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3A7DF" w14:textId="77777777" w:rsidR="00DD31FB" w:rsidRPr="00CC3D92" w:rsidRDefault="00DD31F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2653C" w:rsidRPr="00E649AD" w14:paraId="4F7C126E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8EE31F" w14:textId="79872771" w:rsidR="00A651B3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AC1340" w14:textId="3D7062BE" w:rsidR="00A651B3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Добір персоналу в апарат Адміністрації судноплавства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6B42CF" w14:textId="26C99381" w:rsidR="00A651B3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впливу з боку посадових осіб або інших осіб з метою сприяння прийняттю на державну службу близьк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их їм осіб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EEE0C2" w14:textId="52F8E6FA" w:rsidR="00A651B3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Сприяння прийняттю на державну службу близьких осіб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313922" w14:textId="1DAC8F46" w:rsidR="00A651B3" w:rsidRPr="00CC3D92" w:rsidRDefault="00C0159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повідомлення членом 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конкурсної комісії про конфлікт інтересів під час проведення конкурсного відбору та його подальших дій у зв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язку з таким конфліктом інтересів 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69B234" w14:textId="402D390F" w:rsidR="00A651B3" w:rsidRPr="00CC3D92" w:rsidRDefault="000839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роз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яснень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членів конкурсного відбору 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E66176" w14:textId="08AB4F31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35CD47" w14:textId="2F09CD43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10D55C" w14:textId="2614619A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08394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37127A" w14:textId="77777777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інструктажу членам конкурсної комісії в частині дотримання вимог законодавства з питань проведення конкурсного відбору, фіксування їх у встановленому порядку</w:t>
            </w:r>
          </w:p>
          <w:p w14:paraId="5EF74D86" w14:textId="77777777" w:rsidR="00151E52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D62FF2" w14:textId="1A29138B" w:rsidR="00151E52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Залучення експертів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підбор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персоналу до роботи конкурсного відбору  (за потреби) 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FA24C3" w14:textId="4EAD4425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Під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конкурсного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відбору</w:t>
            </w:r>
            <w:proofErr w:type="spellEnd"/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631933" w14:textId="77777777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Конкурсна комісія</w:t>
            </w:r>
          </w:p>
          <w:p w14:paraId="4B2852F5" w14:textId="77777777" w:rsidR="00151E52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561427B" w14:textId="640E6F2C" w:rsidR="00151E52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персоналу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4022E8" w14:textId="470A4E4B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87D6EC" w14:textId="1764D973" w:rsidR="00A651B3" w:rsidRPr="00CC3D92" w:rsidRDefault="008743A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Повідомлення членами конкурсної комісії про конфлікт інтересів під час проведення конкурсного відбору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4D283A" w14:textId="1446AB71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Виконано, під час проведення конкурсного відбору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0D02B9" w14:textId="34DF7976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151E5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2E6240" w14:textId="054542C4" w:rsidR="00A651B3" w:rsidRPr="00CC3D92" w:rsidRDefault="00151E5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щодо 100% інструктажів членам конкурсної комісії</w:t>
            </w:r>
          </w:p>
        </w:tc>
      </w:tr>
      <w:tr w:rsidR="0002653C" w:rsidRPr="00E649AD" w14:paraId="48648285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FFBC47" w14:textId="18722D05" w:rsidR="00A651B3" w:rsidRPr="00CC3D92" w:rsidRDefault="00E909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E6CA61" w14:textId="2D5833B8" w:rsidR="00A651B3" w:rsidRPr="00CC3D92" w:rsidRDefault="00E909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роботи щодо оцінювання результатів службової діяльності державних службовців</w:t>
            </w:r>
            <w:r w:rsidR="001E6C5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які займають посади державної служби категорії «Б» і «В»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EEDC3B" w14:textId="71FED017" w:rsidR="00A651B3" w:rsidRPr="00CC3D92" w:rsidRDefault="001E6C5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впливу з боку посадових осіб на результати проведення щорічного оцінювання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8399F9" w14:textId="737A7F70" w:rsidR="00A651B3" w:rsidRPr="00CC3D92" w:rsidRDefault="001E6C5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Вплив з боку посадових осіб на результати проведення щорічного оцінювання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B6DDCC" w14:textId="7C438605" w:rsidR="00A651B3" w:rsidRPr="00CC3D92" w:rsidRDefault="001E6C5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Недотримання процедури виставлення балів, визначення оцінки та її </w:t>
            </w:r>
            <w:r w:rsidR="009547C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6783CB" w14:textId="13A138F4" w:rsidR="00A651B3" w:rsidRPr="00CC3D92" w:rsidRDefault="001E6C5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роз’яснювальної роботи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37F4CA" w14:textId="45796C12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1E6C5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B6AE8B" w14:textId="5E33CAED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1E6C5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52D713" w14:textId="03FCBE84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1E6C5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</w:t>
            </w:r>
            <w:r w:rsidR="007B269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11BFCD" w14:textId="7B28215E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пам’ятки для керівників структурних підрозділів Адміністрації судноплавства щодо проведення щорічного оцінювання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F81BBF" w14:textId="5DADE837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</w:t>
            </w:r>
            <w:r w:rsidR="007B269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овтень</w:t>
            </w:r>
            <w:r w:rsid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649AD" w:rsidRPr="00E649AD">
              <w:rPr>
                <w:rFonts w:ascii="Times New Roman" w:hAnsi="Times New Roman"/>
                <w:sz w:val="20"/>
                <w:szCs w:val="20"/>
                <w:lang w:val="uk-UA"/>
              </w:rPr>
              <w:t>кожного 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4D6D64" w14:textId="034B8A36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персоналу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6A6A99" w14:textId="0B6AC52E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883E2F" w14:textId="7492E051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Мінімізація впливу посадових осіб на результати проведення щорічного оцінювання державних службовців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C6594E" w14:textId="39C98891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Виконано, під час проведення щорічного оцінювання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5CE312" w14:textId="45D19464" w:rsidR="00A651B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B269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800C4C" w14:textId="49D6CB39" w:rsidR="00A651B3" w:rsidRPr="00CC3D92" w:rsidRDefault="007B269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100%, розроблено пам’ятку для керівників структурних підрозділів Адміністрації судноплавства</w:t>
            </w:r>
          </w:p>
        </w:tc>
      </w:tr>
      <w:tr w:rsidR="0002653C" w:rsidRPr="00CC3D92" w14:paraId="5ED40CE3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F6C02A" w14:textId="4CBB1DE6" w:rsidR="007B2693" w:rsidRPr="00CC3D92" w:rsidRDefault="00804C5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36E372" w14:textId="156098C5" w:rsidR="007B2693" w:rsidRPr="00CC3D92" w:rsidRDefault="00804C5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Здійснення державного нагляду за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виконанням на українських суднах і в судноплавних компаніях незалежно від форми власності вимог законодавства та міжнародних договорів України щодо безпеки судноплавства та запобігання забрудненню навколишнього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природного середовища ( контроль держави прапора)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C08499" w14:textId="14368770" w:rsidR="007B2693" w:rsidRPr="00CC3D92" w:rsidRDefault="0047141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Необ’єктивність під час проведення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перевірок контролю держави прапора, можливість не внесення до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</w:t>
            </w:r>
            <w:r w:rsidR="00566F9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огляду зауважень з метою отримання неправомірної вигоди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ABC8E8" w14:textId="32C21EC5" w:rsidR="007B2693" w:rsidRPr="00CC3D92" w:rsidRDefault="0047141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Навмисне замовчування щодо виявлених порушень під час перевірки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контролю держави прапора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758A1" w14:textId="18E04114" w:rsidR="007B2693" w:rsidRPr="00CC3D92" w:rsidRDefault="0047141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 доброчесність посадових осіб Адміністра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ції судноплавства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FE4FD" w14:textId="0AF695A1" w:rsidR="007B2693" w:rsidRPr="00CC3D92" w:rsidRDefault="00A86C7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Аналіз результатів попередніх перевірок суден з боку Управління </w:t>
            </w:r>
            <w:r w:rsidR="00560C9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інспекції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суден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0A936" w14:textId="2C22205C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Середній 2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8344B" w14:textId="473089C5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3 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4AD327" w14:textId="706AA752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5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33199" w14:textId="65A7ED77" w:rsidR="007B2693" w:rsidRPr="00CC3D92" w:rsidRDefault="00A86C7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історії попередніх перевірок суден перед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проведенням огляду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E2776E" w14:textId="30D6EEF9" w:rsidR="007B269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</w:t>
            </w:r>
            <w:r w:rsidR="00821EB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C6DF4" w14:textId="409A83C0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</w:t>
            </w:r>
            <w:r w:rsidR="006A6974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інспекції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суден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E2DA4E" w14:textId="65DDFB68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DDCE6C" w14:textId="00B28720" w:rsidR="007B2693" w:rsidRPr="00CC3D92" w:rsidRDefault="00A86C7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Перелік чи відсутність зауважень у відповідного судна відповідно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до історії судна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44CC91" w14:textId="29EFDF60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Виконується щоразу перед проведенням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перевірки 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68AD84" w14:textId="02BD268F" w:rsidR="007B2693" w:rsidRPr="00CC3D92" w:rsidRDefault="00D16FD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</w:t>
            </w:r>
            <w:r w:rsidR="00821EB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58ECD" w14:textId="17F45784" w:rsidR="007B2693" w:rsidRPr="00CC3D92" w:rsidRDefault="00821EB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щодо 100% перевірок</w:t>
            </w:r>
          </w:p>
        </w:tc>
      </w:tr>
      <w:tr w:rsidR="0002653C" w:rsidRPr="00CC3D92" w14:paraId="4D93E7A3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E252C9" w14:textId="5BF69018" w:rsidR="007B2693" w:rsidRPr="00CC3D92" w:rsidRDefault="00A86C7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8EEED8" w14:textId="07DC87DA" w:rsidR="007B2693" w:rsidRPr="00CC3D92" w:rsidRDefault="00A86C7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Здійснення державного нагляду за відповідністю іноземних суден незалежно </w:t>
            </w:r>
            <w:r w:rsidR="00A155B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 прапора, що заходять у морські порти України, вимогам щодо безпеки судноплавства та </w:t>
            </w:r>
            <w:r w:rsidR="00A155B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запобігання забрудненню навколишнього природного середовища із суден, що встановлені міжнародними договорами України (контроль держави порту) 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6D97D5" w14:textId="2D7CEC34" w:rsidR="007B2693" w:rsidRPr="00CC3D92" w:rsidRDefault="00A155B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Необ’єктивність під час проведення перевірок контролю держави порту, можливість не внесення до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</w:t>
            </w:r>
            <w:r w:rsidR="008D1D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огляду зауважень з метою отримання неправомірної вигоди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66852B" w14:textId="2106EA4C" w:rsidR="007B2693" w:rsidRPr="00CC3D92" w:rsidRDefault="00A155B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Навмисне замовчування щодо виявлених порушень під час перевірки контролю держави порту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0FA4B5" w14:textId="5EE546CA" w:rsidR="007B2693" w:rsidRPr="00CC3D92" w:rsidRDefault="00A155B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 Адміністрації судноплавства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2E5E50" w14:textId="2C7E5FD6" w:rsidR="007B2693" w:rsidRPr="00CC3D92" w:rsidRDefault="00A155B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Аналіз результатів попередніх перевірок суден з боку Управління </w:t>
            </w:r>
            <w:r w:rsidR="008D1D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інспекції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суден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E5037F" w14:textId="78961C38" w:rsidR="007B2693" w:rsidRPr="00CC3D92" w:rsidRDefault="00A155B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 2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C3F035" w14:textId="19414179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3 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E30FA0" w14:textId="36FFAA9E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5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DB35F4" w14:textId="0D73722B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історії попередніх перевірок суден перед проведенням огляду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B1C0C2" w14:textId="072F502A" w:rsidR="007B2693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4159A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3CBAA1" w14:textId="3D23104F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</w:t>
            </w:r>
            <w:r w:rsidR="00AA2F01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інспекції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суден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D0788C" w14:textId="37562C19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AD6655" w14:textId="4494FB57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Перелік чи відсутність зауважень у відповідного судна відповідно до історії судна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3B8BB0" w14:textId="139FCEC7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щоразу перед проведенням перевірки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6AE3B7" w14:textId="05357142" w:rsidR="007B2693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4159A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AEA8F0" w14:textId="4877F489" w:rsidR="007B2693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щодо 100% перевірок</w:t>
            </w:r>
          </w:p>
        </w:tc>
      </w:tr>
      <w:tr w:rsidR="0002653C" w:rsidRPr="00CC3D92" w14:paraId="13D1C4A9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0178D5" w14:textId="6BB0F222" w:rsidR="004159AD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855605" w14:textId="2595F988" w:rsidR="004159AD" w:rsidRPr="00CC3D92" w:rsidRDefault="002F338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Робота з персональними даними 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здійсненн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Адміністрацією судно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плавства функцій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передбачених законодавством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420B6D" w14:textId="32CAE768" w:rsidR="004159AD" w:rsidRPr="00CC3D92" w:rsidRDefault="002F338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Неправомірне використання в особистих цілях персональних даних, які оброблюютьс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я під час виконання службових обов’язків працівниками Адміністрації судноплавства 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BD607E" w14:textId="65D105F5" w:rsidR="004159AD" w:rsidRPr="00CC3D92" w:rsidRDefault="002F338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Передача персональних даних третім особам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без законних на  те підстав з метою отримання неправомірної вигоди. Використання персональних даних чи інформації 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про окремих осіб у власних корисливих цілях 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2B7A0C" w14:textId="5F2159C8" w:rsidR="004159AD" w:rsidRPr="00CC3D92" w:rsidRDefault="002F338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Недоброчесність 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працівників Адміністрації судноплавства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робот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персональними даними. Відсутність знань щодо відповідаль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ності за порушення законодавства про захист персональних даних, нерозуміння вимог законодавства про захист персональних даних, відсутність належного контролю щодо операцій, пов’язаних з обробкою персональних даних, та працівникі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які мають доступ до персональних даних. 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F5E1A6" w14:textId="1D7E2F5D" w:rsidR="004159AD" w:rsidRPr="00CC3D92" w:rsidRDefault="001D30E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Контроль за додержанням законодавства про захист персональних даних у межах повноважень, передбач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них законом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здійснюють Уповноважений 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ерховної Ради України з прав людини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 сфері захисту персональних даних та суди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DE5520" w14:textId="0CEBD73C" w:rsidR="004159AD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изький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7492D4" w14:textId="4EACC11C" w:rsidR="004159AD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319F90" w14:textId="54791E5F" w:rsidR="004159AD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1D30E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E8097E" w14:textId="6B831F3F" w:rsidR="00076AC5" w:rsidRPr="00CC3D92" w:rsidRDefault="001D30E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інформації про осіб, які мають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 доступ до персональних даних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працюють з ними, та </w:t>
            </w:r>
            <w:r w:rsidR="00076AC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облік операцій, пов’язаних з обробкою </w:t>
            </w:r>
            <w:r w:rsidR="00076AC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персональних даних та доступом до них</w:t>
            </w:r>
          </w:p>
          <w:p w14:paraId="240A8FA8" w14:textId="77777777" w:rsidR="00076AC5" w:rsidRPr="00CC3D92" w:rsidRDefault="00076AC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2B1D4DC" w14:textId="77777777" w:rsidR="00076AC5" w:rsidRPr="00CC3D92" w:rsidRDefault="00076AC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0C77B3" w14:textId="77777777" w:rsidR="004159AD" w:rsidRPr="00CC3D92" w:rsidRDefault="00076AC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навчань працівників структурних підрозділів, які здійснюють обробку персональних  даних  </w:t>
            </w:r>
          </w:p>
          <w:p w14:paraId="68BD939D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C33B45" w14:textId="196B3AC2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Підготовка пам’ятки про роботу з персональними даними, надсилання працівникам Адміністрації судноплавства для ознайомлення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публікація пам’ятки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вебсайті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Адміністрації судноплавства  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3EDB3E" w14:textId="0AAB21DF" w:rsidR="004159AD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Щомісяця</w:t>
            </w:r>
          </w:p>
          <w:p w14:paraId="27B5971D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9BF2A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74742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99250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9AB62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A3246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48E84CC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183213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8BA9B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C6ED81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E934D8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15EF9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6F1050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4EC190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5A058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829D3E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C6480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32BE121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25CEEC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4A8AC1B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B6D52B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E5DE7A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8421704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A512E6F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CD949FA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5F1F7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F0FBF77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Протягом року</w:t>
            </w:r>
          </w:p>
          <w:p w14:paraId="6DC1C6E5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6E9FFEB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FF8D75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3A574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B5AA685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6650BC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5C443F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EF51003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A1DFC5E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BE770D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9A9E2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7F011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26F6B8C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C58562" w14:textId="41B9E3DE" w:rsidR="00D651B6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8B174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3C1CE8" w14:textId="136788C1" w:rsidR="004159AD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Усі структурні підрозділи Адміністрації судноплавства, контроль Управління 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забезпечення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роботи керівництва</w:t>
            </w:r>
          </w:p>
          <w:p w14:paraId="41F7E13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873593B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9B01DB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4A617E0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61E4F63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EA11286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E6AD21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C4EB69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02D072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A6FDCF" w14:textId="77777777" w:rsidR="00D651B6" w:rsidRPr="00CC3D92" w:rsidRDefault="00D651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C022F1" w14:textId="05F60412" w:rsidR="00D651B6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забезпечення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роботи керівництва</w:t>
            </w:r>
          </w:p>
          <w:p w14:paraId="05644568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26446A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7243D5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57D4F9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1318CE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E93BB6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FBCA24C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A9A8B6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06E870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5698BB" w14:textId="77777777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ADF86C2" w14:textId="4A06E39B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роботи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керівництва</w:t>
            </w:r>
          </w:p>
          <w:p w14:paraId="199AC6BD" w14:textId="09B33651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C6F4BC" w14:textId="706639ED" w:rsidR="00C76083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1414A8" w14:textId="4E1E7030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Наявність узагальненої та актуальної інформації щодо осіб, які мають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 доступ до персональних даних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працюють з ними, та облік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операцій, пов’язаних з обробкою персональних даних та доступом до них</w:t>
            </w:r>
          </w:p>
          <w:p w14:paraId="4D19A24E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B2E2447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34B827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BDA2BE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6AA57D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C66E0D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CBDB00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AF3E94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DA3BDF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936DC3D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D5A0B3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Працівники які здійснюють обробку персональних даних пройшли навчання </w:t>
            </w:r>
          </w:p>
          <w:p w14:paraId="45171C89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35EBEB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B3C00EC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0D20B1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D61385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C5315F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270EFE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9F2F70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32BE23" w14:textId="77777777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A7B35B" w14:textId="05568C93" w:rsidR="00415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Працівники </w:t>
            </w:r>
            <w:r w:rsidR="001932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дміністрації судноплавства ознайомлені з пам’яткою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про роботу з персональними даними  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64A0A3" w14:textId="77777777" w:rsidR="004159AD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Виконується щомісяця</w:t>
            </w:r>
          </w:p>
          <w:p w14:paraId="7F0C03DA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BFD08C6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7DA282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8852EF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2BE6B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C302C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0F21E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CDFC2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38D56F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697CDC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E55FFC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1B13706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BAED8E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B05E93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89AF6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0760C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491E97F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81B45A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2B003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7629E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916DE9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5FD63C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6FCB99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653CDB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протягом року</w:t>
            </w:r>
          </w:p>
          <w:p w14:paraId="0AA42F56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CF3871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761A6F6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BEB400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8B0B5A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4BE246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B5770D4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E441A8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2B6C55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056E25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57B52E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7D933C9" w14:textId="77777777" w:rsidR="00B47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498627B" w14:textId="4FCC2B83" w:rsidR="00B479AD" w:rsidRPr="00CC3D92" w:rsidRDefault="00B479A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в липні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06D9E8" w14:textId="645BA004" w:rsidR="004159AD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</w:t>
            </w:r>
            <w:r w:rsidR="00C7608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E26F3A" w14:textId="2A16B7A2" w:rsidR="004159AD" w:rsidRPr="00CC3D92" w:rsidRDefault="00C760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04A46CE3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AA21EA" w14:textId="69D9FC27" w:rsidR="004159AD" w:rsidRPr="00CC3D92" w:rsidRDefault="00B47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E3F21C" w14:textId="63C8545C" w:rsidR="004159AD" w:rsidRPr="00CC3D92" w:rsidRDefault="00EC7B0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Запобігання та виявлення корупції 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CC0FC9" w14:textId="5B0E81AD" w:rsidR="004159AD" w:rsidRPr="00CC3D92" w:rsidRDefault="00EC7B0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Можливість порушення вимог Закону України «Про запобігання корупції» </w:t>
            </w:r>
            <w:r w:rsidR="006800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внаслідок відсутності механізмів заохочення та формування культури повідомлення про можливі факти корупційних або </w:t>
            </w:r>
            <w:r w:rsidR="007B6AB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пов’язаних</w:t>
            </w:r>
            <w:r w:rsidR="006800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корупцією правоп</w:t>
            </w:r>
            <w:r w:rsidR="006800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орушень, інших порушень Закону України « Про запобігання корупції» 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86765A" w14:textId="7615A667" w:rsidR="004159AD" w:rsidRPr="00CC3D92" w:rsidRDefault="006800E7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Працівники Адміністрації судноплавства мають бути повн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мір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обізнаними щодо права як викривачі повідомляти про можливі факти корупційних або </w:t>
            </w:r>
            <w:r w:rsidR="00E421A0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пов’язаних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корупцією правопорушень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8A8DA4" w14:textId="77777777" w:rsidR="004159AD" w:rsidRPr="00CC3D92" w:rsidRDefault="00E421A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Недостатня урегульованість внутрішніх організаційно-розпорядчих актів.</w:t>
            </w:r>
          </w:p>
          <w:p w14:paraId="344A3C25" w14:textId="77777777" w:rsidR="00E421A0" w:rsidRPr="00CC3D92" w:rsidRDefault="00E421A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C77167D" w14:textId="56C13AE0" w:rsidR="00E421A0" w:rsidRPr="00CC3D92" w:rsidRDefault="00E421A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Недостатні існуючі методи роботи з викривачами корупції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A6914E" w14:textId="64970A8A" w:rsidR="004159AD" w:rsidRPr="00CC3D92" w:rsidRDefault="007B6A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</w:t>
            </w:r>
            <w:r w:rsidR="0096227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лення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затвердження внутрішнього організаційно-розпорядчого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яким запроваджується механізм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необхідна  для Адміністрації судноплавства як один із превентивних механізмів 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одо запобігання та протидії корупції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21134A" w14:textId="79EFD4CF" w:rsidR="004159AD" w:rsidRPr="00CC3D92" w:rsidRDefault="007B6A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 1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EDA8F8" w14:textId="7029DC34" w:rsidR="004159AD" w:rsidRPr="00CC3D92" w:rsidRDefault="007B6A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2456A7" w14:textId="289AD6B5" w:rsidR="004159AD" w:rsidRPr="00CC3D92" w:rsidRDefault="007B6A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  <w:p w14:paraId="4F77F694" w14:textId="2AFCF055" w:rsidR="007B6ABE" w:rsidRPr="00CC3D92" w:rsidRDefault="007B6AB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996215" w14:textId="77777777" w:rsidR="004159AD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внутрішнього організаційно-розпорядчого акта для визначення механізмів заохочення та формування культури повідомлення про можливі факти корупційних або пов’язаних з корупцією правопорушень.</w:t>
            </w:r>
          </w:p>
          <w:p w14:paraId="63063CF6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EDAD34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A997F35" w14:textId="3EBFDA69" w:rsidR="00974E29" w:rsidRPr="00CC3D92" w:rsidRDefault="00DC24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Роз’яснення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працівникам щодо порядку дій для повідомлення про можливі факти корупційних або </w:t>
            </w:r>
            <w:r w:rsidR="008960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пов’язаних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 корупцією правопорушень</w:t>
            </w:r>
          </w:p>
          <w:p w14:paraId="7BAF1B6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83B665B" w14:textId="7C4F90E8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r w:rsidR="008960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дення додаткових навчань (тренінгів) із доведенням типових ситуацій порушення антикорупційного законодавства щодо дотримання прав викривачів, </w:t>
            </w:r>
            <w:r w:rsidR="008960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обов’язковості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повідомлення про обставини та факти, що можуть передувати або бути наслідками вчинення корупційних або пов’язаних з корупцією правопорушень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6C0137" w14:textId="13770799" w:rsidR="004159AD" w:rsidRPr="00CC3D92" w:rsidRDefault="008B174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Жовтень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листопад 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  <w:r w:rsidR="00504EE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року</w:t>
            </w:r>
          </w:p>
          <w:p w14:paraId="6D6786D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41CEDC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71B346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27B767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8DFD5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3BB6427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B7F23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10D084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533A1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DFEF8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2E40070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031A8F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29534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BEE10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0AB4B3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59FE1F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4A71A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2A802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2C5EDE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E9F2937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DC841FA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C24964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3EF3F9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E9788C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BD69E7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1E34E0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C8E1CE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BB9447C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Постійно протягом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2023 та 2024 років</w:t>
            </w:r>
          </w:p>
          <w:p w14:paraId="7DE95F67" w14:textId="77777777" w:rsidR="00974E29" w:rsidRPr="00CC3D92" w:rsidRDefault="00974E29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4269CF6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D27BB0" w14:textId="2630F15F" w:rsidR="00974E29" w:rsidRPr="00CC3D92" w:rsidRDefault="00504EEE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Квітень 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974E2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DFE57C" w14:textId="70D524F1" w:rsidR="004159AD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Відділ з питань запобігання та виявлення корупції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7371A8" w14:textId="5A3325F4" w:rsidR="004159AD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6B551E" w14:textId="77777777" w:rsidR="004159AD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Розроблено відповідний внутрішній акт</w:t>
            </w:r>
          </w:p>
          <w:p w14:paraId="728C2B5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DAD64F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FFD14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EC63BF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4618D3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F4F0335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F609F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5DD8FA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50609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709B52E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437013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CEFA7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655954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708C84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2245E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D2ED4E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7C591F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484B72B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A8C486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110984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CDB540C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F109F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76E4889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83DB3D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22A5131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87B48C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C1FA92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2E4D068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525B1C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6D83990" w14:textId="77777777" w:rsidR="00974E29" w:rsidRPr="00CC3D92" w:rsidRDefault="00974E29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Надано роз’яснення працівникам</w:t>
            </w:r>
          </w:p>
          <w:p w14:paraId="6D4F0EFE" w14:textId="77777777" w:rsidR="00504EEE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A59F6C" w14:textId="77777777" w:rsidR="00504EEE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769F17" w14:textId="77777777" w:rsidR="00504EEE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D2525D" w14:textId="77777777" w:rsidR="00504EEE" w:rsidRPr="00CC3D92" w:rsidRDefault="00504EEE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67447F" w14:textId="77777777" w:rsidR="00504EEE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DC08EE" w14:textId="493961E0" w:rsidR="00504EEE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Навчання проведені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4F7691" w14:textId="6B45B0DC" w:rsidR="004159AD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Виконано у зазначені періоди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8465EE" w14:textId="586B4109" w:rsidR="004159AD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504EE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47195A" w14:textId="52E56F63" w:rsidR="004159AD" w:rsidRPr="00CC3D92" w:rsidRDefault="00504EE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1572AF04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D36BC4" w14:textId="29D1251A" w:rsidR="004159AD" w:rsidRPr="00CC3D92" w:rsidRDefault="00D43CF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DA2108" w14:textId="3DE0C80F" w:rsidR="004159AD" w:rsidRPr="00CC3D92" w:rsidRDefault="00D43CF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Розгляд звернень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322025" w14:textId="150E80B9" w:rsidR="004159AD" w:rsidRPr="00CC3D92" w:rsidRDefault="00D43CF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прийняття рішенн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я посадовими особами Адміністрації судноплавства в умовах реального конфлікту інтересів у зв’язку з розглядом звернень, в яких одночасно оскаржується діяльність </w:t>
            </w:r>
            <w:r w:rsidR="00EB224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вказаних посадових осіб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082F63" w14:textId="28B6090A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Посадові особи Адміністрації судноплавства можуть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діяти в умовах реального конфлікту інтересів 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розгляд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звернень, в яких одночасно оскаржується діяльність вказаних посадових осіб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075A1A" w14:textId="77777777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Недостатні існуючі методи внутрішньо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го контролю</w:t>
            </w:r>
          </w:p>
          <w:p w14:paraId="5C49A289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C6D91D4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9BADDFA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BA1146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6AADDE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B8A023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2C7354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6164322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4C69F6" w14:textId="77777777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0EE439" w14:textId="2346C74C" w:rsidR="00EB224E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Можлива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працівників Адміністрації судноплавства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5630D4" w14:textId="640D042F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Запровадження моніторингових заходів контролю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розгляду звернень, в яких оскаржується діяльність посадових осіб Адміністрації судноплавства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9C11D9" w14:textId="211F15D1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Низький 1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65B40F" w14:textId="0F5F185F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3 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B9719A" w14:textId="0E0E1ACB" w:rsidR="004159AD" w:rsidRPr="00CC3D92" w:rsidRDefault="00EB224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C612DA" w14:textId="6A8588AA" w:rsidR="005A1E53" w:rsidRPr="00CC3D92" w:rsidRDefault="005A1E5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звернень  та результатів їх розгляду з метою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виявлення можливого приватного інтересу проведено</w:t>
            </w:r>
          </w:p>
          <w:p w14:paraId="6C7E3288" w14:textId="5DF9F0B1" w:rsidR="005A1E53" w:rsidRPr="00CC3D92" w:rsidRDefault="005A1E5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додаткових навчань (тренінгів) із доведенням типових ситуацій порушення антикорупційного законодавства  щодо порушення вимог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стосовно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запобігання та врегулювання конфлікту інтересів</w:t>
            </w:r>
          </w:p>
          <w:p w14:paraId="0F47E5BC" w14:textId="77777777" w:rsidR="004159AD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FADFE9" w14:textId="791D2088" w:rsidR="004159AD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</w:p>
          <w:p w14:paraId="627097B2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986606E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2E6FFD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8AD3B31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99DE3A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99EB30C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99ED9B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4FC193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F7F786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1105BB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1573B2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144B9BE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8FB9DA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F0BADE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F4E918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5FBA09" w14:textId="5893B0F5" w:rsidR="005A1E53" w:rsidRPr="00CC3D92" w:rsidRDefault="008B174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Жовтень </w:t>
            </w:r>
            <w:r w:rsidR="005A1E5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2023 року </w:t>
            </w:r>
          </w:p>
          <w:p w14:paraId="38D51BF4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0FC9D8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520484B" w14:textId="0DB1036A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2024 року</w:t>
            </w:r>
          </w:p>
          <w:p w14:paraId="0C444CC0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E0EEDD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33044B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9561EC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CDFC09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159BE8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030F6A4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3FDF09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A40642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4450708" w14:textId="1D1428A6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EA3A32" w14:textId="77777777" w:rsidR="004159AD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документообігу та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контролю</w:t>
            </w:r>
          </w:p>
          <w:p w14:paraId="5717FB96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225331" w14:textId="77777777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2B9E69" w14:textId="0EC9F1F6" w:rsidR="005A1E53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</w:t>
            </w:r>
            <w:r w:rsidR="00DC24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</w:t>
            </w:r>
            <w:r w:rsid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роботи керівництва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69208C" w14:textId="50F176B0" w:rsidR="004159AD" w:rsidRPr="00CC3D92" w:rsidRDefault="005A1E5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Не потребує додаткових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видатків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ACB622" w14:textId="6050A26A" w:rsidR="005A1E53" w:rsidRPr="00CC3D92" w:rsidRDefault="005A1E5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Моніторинг звернень проведено, у разі виявлення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достатніх даних, що можуть свідчити про наявність приватного інтересу у посадової особи</w:t>
            </w:r>
            <w:r w:rsid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(працівника) Адміністрації судноплавства,  підготовлено доповідну записку керівнику органу</w:t>
            </w:r>
          </w:p>
          <w:p w14:paraId="2556C42C" w14:textId="77777777" w:rsidR="005A1E53" w:rsidRPr="00CC3D92" w:rsidRDefault="005A1E5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BD9FA95" w14:textId="7BE8651D" w:rsidR="00430B32" w:rsidRPr="00CC3D92" w:rsidRDefault="00430B3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Навчання (тренінг) проведено</w:t>
            </w:r>
          </w:p>
          <w:p w14:paraId="0CAFF4B3" w14:textId="77777777" w:rsidR="00430B32" w:rsidRPr="00CC3D92" w:rsidRDefault="00430B3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6B56E4" w14:textId="77777777" w:rsidR="00430B32" w:rsidRPr="00CC3D92" w:rsidRDefault="00430B3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12852E" w14:textId="77777777" w:rsidR="004159AD" w:rsidRPr="00CC3D92" w:rsidRDefault="004159A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8C2C3F" w14:textId="398BB140" w:rsidR="004159AD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Виконано у зазначений період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8A545C" w14:textId="2DB151FC" w:rsidR="004159AD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D347B5" w14:textId="42FFDC8B" w:rsidR="004159AD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208AEBC1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45BF26" w14:textId="698E85C0" w:rsidR="00430B32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9E9676" w14:textId="77777777" w:rsidR="00250D4B" w:rsidRPr="00CC3D92" w:rsidRDefault="00250D4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ведення бухгалтерськ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ого обліку, контроль за використанням матеріальних ресурсів</w:t>
            </w:r>
          </w:p>
          <w:p w14:paraId="61FF26A0" w14:textId="77777777" w:rsidR="00250D4B" w:rsidRPr="00CC3D92" w:rsidRDefault="00250D4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C3093E" w14:textId="071FDDCC" w:rsidR="00430B32" w:rsidRPr="00CC3D92" w:rsidRDefault="00430B3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8C111F" w14:textId="37414F6E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Можливі неправомірні дії працівників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Адміністрації судноплавства 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використанн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майна, отриманого для здійснення службових повноважень, з метою задоволення приватного інтересу</w:t>
            </w:r>
          </w:p>
          <w:p w14:paraId="3A797E78" w14:textId="77777777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4673DA" w14:textId="3B13F161" w:rsidR="00430B32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37CB3D" w14:textId="3CFDC5DA" w:rsidR="00250D4B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Ймовірність використання посадовою особою Адміністрації судноплавства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матеріальних ресурсів, переданих їй у користування, для задоволення власних потреб 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через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недостатн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урегульован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ь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процесів обліку, передачі та переміщення матеріальних цінностей, що створює передумови для вчинення корупційних і пов’язаних з корупцією правопорушень</w:t>
            </w:r>
          </w:p>
          <w:p w14:paraId="327CD6DA" w14:textId="77777777" w:rsidR="00250D4B" w:rsidRPr="00CC3D92" w:rsidRDefault="00250D4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4D7545A" w14:textId="77777777" w:rsidR="00430B32" w:rsidRPr="00CC3D92" w:rsidRDefault="00430B3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CBE679" w14:textId="4736005A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1. Недостатня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врегульованість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апараті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Адміністрації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судноплавства обліку, передачі та переміщення матеріальних цінностей матеріально відповідальними особами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235593FD" w14:textId="6A8235F1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Недостатній контроль за фактичним використанням посадовими особами матеріальних ресурсів у період між щорічними інвентаризаціями</w:t>
            </w:r>
            <w:r w:rsidR="002927F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70D82E5" w14:textId="6E9C2132" w:rsidR="00250D4B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посадової особи Адміністрації судноплавства</w:t>
            </w:r>
          </w:p>
          <w:p w14:paraId="4E247EB0" w14:textId="77777777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67E8A6" w14:textId="77777777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B69FDB" w14:textId="77777777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CBD895" w14:textId="69E05544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76561A" w14:textId="2D448FA0" w:rsidR="00250D4B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Поточний контроль з боку керівників за використанням підлеглими працівниками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матеріальних ресурсів.      Ведення бухгалтерського обліку матеріальних ресурсів.                                        Щорічна інвентаризація матеріальних цінностей.                                        Укладання договорів про повну матеріальну відповідальність з матеріально відповідальними особами</w:t>
            </w:r>
          </w:p>
          <w:p w14:paraId="6E40CECD" w14:textId="77777777" w:rsidR="00430B32" w:rsidRPr="00CC3D92" w:rsidRDefault="00430B3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4A8648" w14:textId="1C72E079" w:rsidR="00430B32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Низький 1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0E6315" w14:textId="2985AA16" w:rsidR="00430B32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12E434" w14:textId="2CF8E8D3" w:rsidR="00430B32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</w:t>
            </w:r>
          </w:p>
          <w:p w14:paraId="6FFBD7D2" w14:textId="5AF29C3A" w:rsidR="00250D4B" w:rsidRPr="00CC3D92" w:rsidRDefault="00250D4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A97DA1" w14:textId="050EE312" w:rsidR="0023257E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та затвердження наказом Адміністрації судноплавс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тва внутрішньої процедури, якою буде уніфіковано процеси обліку, передачі та переміщення матеріальних цінностей матеріально відповідальними</w:t>
            </w:r>
            <w:r w:rsidR="008E15B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особами</w:t>
            </w:r>
          </w:p>
          <w:p w14:paraId="486682BC" w14:textId="77777777" w:rsidR="0023257E" w:rsidRPr="00CC3D92" w:rsidRDefault="0023257E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6AB7B6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Розроблення та доведення до посадових осіб апарату Адміністрації судноплавства пам’ятки про недопустимість використання матеріальних ресурсів для цілей, не викликаних службовою необхідністю, та порядок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повідомлення про відомі їм факти таких порушень з боку інших посадових осіб Адміністрації судноплавства</w:t>
            </w:r>
          </w:p>
          <w:p w14:paraId="66A43EC6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звірки ресурсів, переданих у користування працівникам (крім осіб, з якими укладено договори про повну матеріальну відповідальність)</w:t>
            </w:r>
          </w:p>
          <w:p w14:paraId="69D7F3E4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B938029" w14:textId="29BE9F89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керівниками самостійних структурних підрозділів апарату Адміністрації судноплавства інструктажі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 з підлеглими працівниками щодо недопустимості використання матеріальних ресурсів для цілей, не викликаних службовою необхідністю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4CF649" w14:textId="72E7CC46" w:rsidR="00430B32" w:rsidRPr="00CC3D92" w:rsidRDefault="008B174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Листопад </w:t>
            </w:r>
            <w:r w:rsidR="0023257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 року</w:t>
            </w:r>
          </w:p>
          <w:p w14:paraId="54C11164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A6BCCE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E851AC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610E7B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89B767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70D8510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3935E7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A7B5F1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8E6711F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EF041E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725F5F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D1B2A1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4C4926E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C0161E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6FACFF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7A46BF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497448B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2DCE65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F69817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3B7D26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825A0B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B95DA1A" w14:textId="77777777" w:rsidR="004277ED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EAD2DD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C16585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B51000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669B19" w14:textId="77777777" w:rsidR="0023257E" w:rsidRPr="00CC3D92" w:rsidRDefault="0023257E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507B4E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10FE0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3BC55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8EEB7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8483F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F6E718" w14:textId="76B275AB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  <w:r w:rsidR="004E3EF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 202</w:t>
            </w:r>
            <w:r w:rsidR="008B174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4E3EF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  <w:p w14:paraId="2E37ED9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1E2D6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76D72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CFCB3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DD1E56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E6648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C6F7BA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EB308E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4D9D1C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A4DAE9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75E5C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3A7953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153EF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09E8E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B692B8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CDB97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011B9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CE34E3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2D8EB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BA2CC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9C37A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9411F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89441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C919F7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665ED9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4F4F0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A5AED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D9CEC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308FE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5E0EB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1F5E0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6AAF80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BDB91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605D8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1A676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AB2915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4D116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BA110C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A8DBA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664E0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94DAD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E8454E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BE208E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84308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28B853" w14:textId="11D346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Щороку</w:t>
            </w:r>
          </w:p>
          <w:p w14:paraId="3341156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7564DC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241EF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C54DB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F767B8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B97FC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D7B2B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791F8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5130A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990A5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5C683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E7710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9294F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EB940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BDBD3F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F71DF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D9925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353BB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F8E22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3B359B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FF614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B70BDF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61E16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5ED1E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756783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4A87BE3" w14:textId="375920BA" w:rsidR="004B2E46" w:rsidRPr="00CC3D92" w:rsidRDefault="008960B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</w:t>
            </w:r>
            <w:r w:rsidR="004B2E4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D18394" w14:textId="77777777" w:rsidR="00430B32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Департамент фінансово-економічної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діяльності</w:t>
            </w:r>
          </w:p>
          <w:p w14:paraId="225B7D4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7278B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CE10D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470BBE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4D3B1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6D7677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2B1EB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9414D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9F4BEB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3F261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881CA4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2880B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AFAB8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96C72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E4BAA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010E6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7A796A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354F6F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E54062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7C058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73288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8BE78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90AC5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C8145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1D8C8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1A9DE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89CD3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4E6006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2BFF3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609AB6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C8B8E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B45E2D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14395B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25CA1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30917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A5A92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FD92F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BAABA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078EF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9CAE1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D3C951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F64E7B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C42B0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A3ABFC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D947E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3FEE6C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EF6A1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C6F0E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12FF0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DF897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67961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DEC43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1F793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FE3DD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49394E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1290E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D7477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CBF18B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3E106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62753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726132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D5C81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0CE2D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86F94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47E39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7D7D98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32220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32780A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35CD6E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58367F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201B9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3F800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9CBB56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C8B27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D74EE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76C7C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D187A53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2F573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A8FB8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068AD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0D6A01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C83E2FA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6E532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F9982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215CECB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1CBAD6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3A483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D7FD7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CB997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9A38BC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9347B5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46FB005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2BD23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90152C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F258004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5AA8C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EBD677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9CC2899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BFAB71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EF05E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DB1420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36A71E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6D13A4D" w14:textId="77777777" w:rsidR="004B2E46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EA588E2" w14:textId="13692FE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Керівники структурних підрозділів 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8122A4" w14:textId="086D61A6" w:rsidR="00430B32" w:rsidRPr="00CC3D92" w:rsidRDefault="004B2E4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 межах наявних ресурсів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A6C925" w14:textId="71493FEE" w:rsidR="00430B32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Відповідний організаційно-розпорядчий документ розроблено</w:t>
            </w:r>
          </w:p>
          <w:p w14:paraId="3F934F8C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33A33B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946B7B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4CC92DA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FEA6C91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4ED9392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527F1D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CB45F8D" w14:textId="77777777" w:rsidR="004277ED" w:rsidRPr="00CC3D92" w:rsidRDefault="004277E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86FAD26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9C8DEC9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FCB22E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A1CF1D7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B6E5C8D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4B256BC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DA2CFF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ABBB30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Підготовлено та доведено до посадових осіб апарату Адміністрації судноплавства пам’ятку про недопустимість використання матеріальних ресурсів для цілей, не викликаних службовою необхідністю,</w:t>
            </w:r>
          </w:p>
          <w:p w14:paraId="1836889E" w14:textId="3738FA5A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порядок повідомлен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ня про відомі їм факти таких порушень з боку інших посадових осіб</w:t>
            </w:r>
          </w:p>
          <w:p w14:paraId="4E96E383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8C0B08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1B4E955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017F8F2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93519DC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B10C71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69CC1D0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9C2D41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2ACE54F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B20FA1" w14:textId="22268ECA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Проведено звірки ресурсів, переданих у користування працівникам (крім осіб, з якими укладено договори про повну матеріальну відповідальність)</w:t>
            </w:r>
          </w:p>
          <w:p w14:paraId="63FDDB01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F51FB7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A1B92A5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C6A7708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5EF480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64AA401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223F83" w14:textId="77777777" w:rsidR="004B2E46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1AAD91" w14:textId="16AC3D74" w:rsidR="004277ED" w:rsidRPr="00CC3D92" w:rsidRDefault="004B2E4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Керівниками самостійних структурних підрозділів апарату Адміністрації судноплавства проведено інструктажі з підлеглими працівниками щодо недопустимості використання матеріальних ресурсів для цілей, не викликаних службовою необхідністю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17229" w14:textId="2CD94935" w:rsidR="00430B32" w:rsidRPr="00CC3D92" w:rsidRDefault="00270D0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Виконано у межах встановлених строків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056A9C" w14:textId="68BE56BE" w:rsidR="00430B32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4277E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7A2BC" w14:textId="4A3C91E3" w:rsidR="00430B32" w:rsidRPr="00CC3D92" w:rsidRDefault="004277E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413E58B9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971999" w14:textId="1FF79DA0" w:rsidR="00430B32" w:rsidRPr="00CC3D92" w:rsidRDefault="00270D0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BDEBEF" w14:textId="0D43D5E8" w:rsidR="00430B32" w:rsidRPr="00CC3D92" w:rsidRDefault="00BF626C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нагляд (контроль)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10F24A" w14:textId="09E18DBA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Порушення процедури відбору судна для перевірки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провед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енн</w:t>
            </w:r>
            <w:r w:rsidR="00EC66E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оглядів суден внутрішнього плавання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2BB8C7" w14:textId="7EB11C95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Проведення</w:t>
            </w:r>
            <w:r w:rsidR="00D83F2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D83F2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проведення перевірки судна у порушення вимог законодавства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5C9777" w14:textId="40759DBC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осіб, відсутність електронної інформаційної системи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2B7CBC" w14:textId="6D0E66A9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Внутрішній контроль за результатами аналізу результатів перевірки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5CFD3A" w14:textId="2D06C5FA" w:rsidR="00430B32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644F8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6B9E78" w14:textId="77E5E481" w:rsidR="00430B32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644F8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AB39F0" w14:textId="497C1D27" w:rsidR="00430B32" w:rsidRPr="00CC3D92" w:rsidRDefault="008960B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644F8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35141F" w14:textId="39773769" w:rsidR="00430B32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</w:t>
            </w:r>
            <w:r w:rsidR="008960B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лення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впровадження інформаційної системи контролю суден</w:t>
            </w:r>
          </w:p>
          <w:p w14:paraId="61A47D86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9F4620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8C476A" w14:textId="372E0C6B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семінарів та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роз’яснювальних нарад з інспекторським складом</w:t>
            </w:r>
          </w:p>
          <w:p w14:paraId="6EDA6594" w14:textId="69FA7E4E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AB1AE5" w14:textId="2D95939C" w:rsidR="00430B32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2023</w:t>
            </w:r>
            <w:r w:rsidR="00D83F2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  <w:p w14:paraId="40639353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F925EA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FD4392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89C7A3D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7394D3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36392A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60B242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E2361FE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058C58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BC3FED" w14:textId="77777777" w:rsidR="00644F83" w:rsidRPr="00CC3D92" w:rsidRDefault="00644F8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2E1B06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B77E436" w14:textId="5E4C80B1" w:rsidR="00644F83" w:rsidRPr="00CC3D92" w:rsidRDefault="00D83F2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644F8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583E59" w14:textId="37F1E8E8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цифрового розвитку, цифрових трансформацій і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цифровізації</w:t>
            </w:r>
            <w:proofErr w:type="spellEnd"/>
          </w:p>
          <w:p w14:paraId="0C34C924" w14:textId="77777777" w:rsidR="00644F83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7AD8C9" w14:textId="745F66FD" w:rsidR="00644F83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державного нагляду та контролю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892EAD" w14:textId="77777777" w:rsidR="00430B32" w:rsidRPr="00CC3D92" w:rsidRDefault="00644F8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Державний бюджет та інші джере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не заборонені законодавством</w:t>
            </w:r>
          </w:p>
          <w:p w14:paraId="69626306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C316E4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187E86E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0DB89CF" w14:textId="2C2EDA55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8A68CA" w14:textId="1F87B4BF" w:rsidR="00430B32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Впр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вадження інформаційної системи</w:t>
            </w:r>
          </w:p>
          <w:p w14:paraId="4546AFFD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A0E80C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289D026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32DA23B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CD463C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4BC84A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42AE88" w14:textId="5CFAEAA5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Проведено відповідні заходи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2E5346" w14:textId="13B18731" w:rsidR="00430B32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Виконано в межах зазначеного терміну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3D834B" w14:textId="5680E79E" w:rsidR="00430B32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E28613" w14:textId="6A6818A1" w:rsidR="00430B32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0F53D436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143301" w14:textId="7289DC72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0.1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F59151" w14:textId="174C1CFF" w:rsidR="003761D3" w:rsidRPr="00CC3D92" w:rsidRDefault="002171E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нагляд (контроль)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D4B61A" w14:textId="7B921123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Порушення процедури перевірки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5AEFF2" w14:textId="2A428259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Перевірка більшого</w:t>
            </w:r>
            <w:r w:rsidR="0022201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22201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меншого переліку питань у порушенн</w:t>
            </w:r>
            <w:r w:rsidR="0022201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процедур, фіксація не повного переліку виявлених порушень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B3CAFC" w14:textId="2B4AC5E3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осіб, відсутність електронної інформаційної системи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7F2EF7" w14:textId="3D8FB79C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Внутрішній контроль шляхом повторної перевірки судна або аналізу результатів перевірки судна в іноземних портах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3998AA" w14:textId="548F6407" w:rsidR="003761D3" w:rsidRPr="00CC3D92" w:rsidRDefault="0022201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A290EA" w14:textId="1BFD3643" w:rsidR="003761D3" w:rsidRPr="00CC3D92" w:rsidRDefault="0022201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9E5513" w14:textId="5C177A63" w:rsidR="003761D3" w:rsidRPr="00CC3D92" w:rsidRDefault="0022201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B194BE" w14:textId="0BBEFDD6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</w:t>
            </w:r>
            <w:r w:rsidR="00B230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лення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впровадження інформаційної системи контролю суден</w:t>
            </w:r>
          </w:p>
          <w:p w14:paraId="27700095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851BCA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1471ADB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7838B8" w14:textId="1787D6C6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семінарів та роз’яснювальних нарад з інспекторським складом</w:t>
            </w:r>
          </w:p>
          <w:p w14:paraId="0ABFC914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327B3D" w14:textId="00A95AE3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D7FCF8" w14:textId="391CB45D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  <w:r w:rsidR="0022201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  <w:p w14:paraId="0271CC64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32C4F62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94EF1F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E45BE0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AD96082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1CACC6D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011A7A5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9A2091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9ED9E0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A9E5B3F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DB8E35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4AEBBFB" w14:textId="1D40216A" w:rsidR="003761D3" w:rsidRPr="00CC3D92" w:rsidRDefault="0022201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3BDB7D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цифрового розвитку, цифрових трансформацій і цифровізації</w:t>
            </w:r>
          </w:p>
          <w:p w14:paraId="5D525ADA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9191045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B925AEC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41FAA9" w14:textId="71A9619E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державного нагляду та контролю</w:t>
            </w:r>
          </w:p>
          <w:p w14:paraId="17EA9F04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A3FB41B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85F5A0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E6E90CE" w14:textId="10CBDF44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7307E9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бюджет та інші джерела, не заборонені законодавством</w:t>
            </w:r>
          </w:p>
          <w:p w14:paraId="08ECF89D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DADCEE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5682D9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D83FF0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EE9B4E" w14:textId="77777777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2B61C29" w14:textId="4419A57E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D6FFF0" w14:textId="1683D04E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</w:t>
            </w:r>
            <w:r w:rsidR="00B230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вадження інформаційної системи</w:t>
            </w:r>
          </w:p>
          <w:p w14:paraId="7B0CA2CD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639C475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34B15B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4FFF8B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AFF64A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5EBA609" w14:textId="77777777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6304F8" w14:textId="64AA5780" w:rsidR="003761D3" w:rsidRPr="00CC3D92" w:rsidRDefault="003761D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Проведено відповідні заходи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C28126" w14:textId="00499915" w:rsidR="003761D3" w:rsidRPr="00CC3D92" w:rsidRDefault="00EC186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у визначений термін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E16D97" w14:textId="404E99E1" w:rsidR="003761D3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761D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360B15" w14:textId="60D3CBF2" w:rsidR="003761D3" w:rsidRPr="00CC3D92" w:rsidRDefault="003761D3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5F6F09CF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D64A58" w14:textId="444A4E0C" w:rsidR="003761D3" w:rsidRPr="00CC3D92" w:rsidRDefault="00EC186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EEC705" w14:textId="0B23898F" w:rsidR="003761D3" w:rsidRPr="00CC3D92" w:rsidRDefault="00EC186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Складання протоколів про адміністративні правопорушення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55D55E" w14:textId="5B794BA9" w:rsidR="003761D3" w:rsidRPr="00CC3D92" w:rsidRDefault="00EC186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Внесення не повної інформації про порушення до протоколу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E76D16" w14:textId="0DC8C55F" w:rsidR="003761D3" w:rsidRPr="00CC3D92" w:rsidRDefault="00EC186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Зменшення розміру адміністративної санкції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50BB17" w14:textId="1C48EC1B" w:rsidR="003761D3" w:rsidRPr="00CC3D92" w:rsidRDefault="00EC1866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осіб, відсутність реєстру (інформаційної системи) накладених адміністративних стягнень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260984" w14:textId="22721353" w:rsidR="003761D3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EC186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ідсутній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47F494" w14:textId="0D5C0EAD" w:rsidR="003761D3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EC186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7EB3B3" w14:textId="1FABCD2E" w:rsidR="003761D3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EC186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C09D04" w14:textId="1CEB1862" w:rsidR="003761D3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EC1866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BF2B61" w14:textId="77777777" w:rsidR="003761D3" w:rsidRPr="00CC3D92" w:rsidRDefault="00EC186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Створення та запровадження інформаційної системи (реєстру) обліку адміністративних правопорушень на морському і внутрішньому водному транспорті.</w:t>
            </w:r>
          </w:p>
          <w:p w14:paraId="2B36F97B" w14:textId="334D3111" w:rsidR="00EC1866" w:rsidRPr="00CC3D92" w:rsidRDefault="00EC1866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Запровадження фото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відеофіксації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правопорушень</w:t>
            </w:r>
          </w:p>
          <w:p w14:paraId="6204D3B1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B1ECF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F67D37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1CB4A1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F84321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D1695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4BA9B0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5464C3" w14:textId="38E6B60E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семінарів та нарад з посадовими особами, уповноваженими на складання протоколів про адміністративні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правопорушення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розгляд справ про адміністративні правопорушення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60538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1347C6D" w14:textId="33602502" w:rsidR="003761D3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14:paraId="40647E7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E635D1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4C52FE8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305C50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853C9AB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88F093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BD06C6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ED6158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77219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49BC8A0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DAD817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76A5259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425594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6717D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F7788B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B484963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B91E5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73EB91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B3D1FE4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F8CD969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9635F7C" w14:textId="0A788151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14:paraId="0E3E75D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9291EC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378386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3484F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4F9CDA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AF2CBE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692A14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85D18C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2C080E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B76DC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1E8E9E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B0AD7EC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811AE74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9D11EA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515B53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E2691C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89C6EF1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1EA9E8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9AA8388" w14:textId="4C05ADC2" w:rsidR="00EA21A5" w:rsidRPr="00CC3D92" w:rsidRDefault="00B2303C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EA21A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40592D" w14:textId="77777777" w:rsidR="003761D3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Управління цифрового розвитку, цифрових трансформацій і цифровізації</w:t>
            </w:r>
          </w:p>
          <w:p w14:paraId="47D2D799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420002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59F1A0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A4CDFF0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F41A15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E78037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37E5CB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1A2A371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4A0712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AC47D02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8731B7E" w14:textId="10E7C133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державного нагляду та контролю</w:t>
            </w:r>
          </w:p>
          <w:p w14:paraId="0E2EA3C5" w14:textId="77777777" w:rsidR="005B0C09" w:rsidRPr="00CC3D92" w:rsidRDefault="005B0C09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D73D4A3" w14:textId="42F274CF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Департамент нормативно-правової роботи та юридичного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забезпечення</w:t>
            </w:r>
          </w:p>
          <w:p w14:paraId="33703D9B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0A321D" w14:textId="77777777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84A117" w14:textId="7C8E427D" w:rsidR="00EA21A5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державного нагляду та контролю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98F4CC" w14:textId="77777777" w:rsidR="003761D3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Державний бюджет та інші джерела, не заборонені законодавством</w:t>
            </w:r>
          </w:p>
          <w:p w14:paraId="2EFDAFFC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53A17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995B620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4B097C4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7B45C7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FF872C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00BADE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DE6EDB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43AD6E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0D91B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FAD2BD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AD16A9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E80FEC" w14:textId="2A3BA574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бюджет та інші джерела, не заборонені законодавством</w:t>
            </w:r>
          </w:p>
          <w:p w14:paraId="302B7A2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CC1A29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3F4137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A28DDC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722C49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7FF43E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2082F4B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A54AB64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3E4E6E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3E524E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6B3932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424E166" w14:textId="6534BC82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додаткового фінансування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346CF2" w14:textId="77777777" w:rsidR="003761D3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Впроваджено інформаційну систему або отримано доступ до вже існуючої</w:t>
            </w:r>
          </w:p>
          <w:p w14:paraId="4065479B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1B93399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B704F3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489B87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A7D44C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21E77A3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659663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D42C1E8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48C340" w14:textId="25EB6D36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Впроваджено фото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відеофіксацію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заходів державного нагляду та контролю</w:t>
            </w:r>
          </w:p>
          <w:p w14:paraId="1737B95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4DB15A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2AC175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46DFF48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47EE8D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38A2B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E5ACEF" w14:textId="77777777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E7CB36" w14:textId="1E669233" w:rsidR="00EA21A5" w:rsidRPr="00CC3D92" w:rsidRDefault="00EA21A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заходів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6BC990" w14:textId="476B92CC" w:rsidR="003761D3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  <w:r w:rsidR="00EA1ECF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визначені терміни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203EDA" w14:textId="53C9867C" w:rsidR="003761D3" w:rsidRPr="00CC3D92" w:rsidRDefault="00F6779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EA21A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180B1C" w14:textId="2EEC6DB7" w:rsidR="003761D3" w:rsidRPr="00CC3D92" w:rsidRDefault="00EA21A5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08130ECC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E304E4" w14:textId="47822780" w:rsidR="00EA1ECF" w:rsidRPr="00CC3D92" w:rsidRDefault="00EA1EC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3F8004" w14:textId="75392307" w:rsidR="00EA1ECF" w:rsidRPr="00CC3D92" w:rsidRDefault="00EA1ECF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Ведення реєстру 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об’єктів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інфраструктури внутрішнього водного транспорту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1EBD1E" w14:textId="2C01B789" w:rsidR="00EA1ECF" w:rsidRPr="00CC3D92" w:rsidRDefault="00EA1EC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Порушення процедури ведення Реєстру 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об’єктів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інфраструктури внутрішнього водного транспорту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4A136C" w14:textId="0153D0F8" w:rsidR="00EA1ECF" w:rsidRPr="00CC3D92" w:rsidRDefault="00EA1EC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проведення аналізу та перевірки відомостей що подаються балансоутримувачем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декларантом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D7EE6D" w14:textId="256F627B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осіб, відсутність електронної бази даних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CB57EC" w14:textId="6EC842DF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Аналіз та перевірка відомостей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що подаються балансоутримувачем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декларантом.</w:t>
            </w:r>
          </w:p>
          <w:p w14:paraId="2CE29D6C" w14:textId="00F8D1E7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Узгодження відомостей Реєстру з базою даних гідротехнічних споруд Регістра судноплавства України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04E7DD" w14:textId="58EABD23" w:rsidR="00EA1ECF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6F366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  <w:p w14:paraId="610AE837" w14:textId="78F93B0F" w:rsidR="00EA1ECF" w:rsidRPr="00CC3D92" w:rsidRDefault="00EA1EC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BDF933" w14:textId="6CD50854" w:rsidR="00EA1ECF" w:rsidRPr="00CC3D92" w:rsidRDefault="00EA1ECF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0DDF82" w14:textId="4066D4A9" w:rsidR="00EA1ECF" w:rsidRPr="00CC3D92" w:rsidRDefault="00B2303C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6F366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447119" w14:textId="224ABBF1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EA1ECF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B36ABB" w14:textId="43F93548" w:rsidR="00EA1ECF" w:rsidRPr="00CC3D92" w:rsidRDefault="006F366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Внесення змін до Порядку ведення Реєстру 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об’єктів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внутрішнього водного транспорту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124693" w14:textId="4A7DD57C" w:rsidR="00EA1ECF" w:rsidRPr="00CC3D92" w:rsidRDefault="006F366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  <w:r w:rsidR="005B0C0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−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1D205C" w14:textId="5873D714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державного нагляду та контролю</w:t>
            </w:r>
          </w:p>
          <w:p w14:paraId="046F6249" w14:textId="77777777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01A3D8C" w14:textId="6F0EFCB8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цифровізації</w:t>
            </w:r>
            <w:proofErr w:type="spellEnd"/>
          </w:p>
          <w:p w14:paraId="49B7F216" w14:textId="77777777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42A608C" w14:textId="30CF01BF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ДП «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Укрводшлях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C6D178" w14:textId="1A1C5E4E" w:rsidR="00EA1ECF" w:rsidRPr="00CC3D92" w:rsidRDefault="006F366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 бюджет та інші джерела, не заборонені законодавством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5ED70B" w14:textId="2D02129C" w:rsidR="00EA1ECF" w:rsidRPr="00CC3D92" w:rsidRDefault="006F366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Впровадження електронної бази даних 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об’єктів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інфраструктури на внутрішніх водних шляхах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6C6A6E" w14:textId="7E9A4F53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у визначені терміни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3BE8F5" w14:textId="4390B693" w:rsidR="00EA1ECF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F366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64E788" w14:textId="41B4F1D8" w:rsidR="00EA1ECF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48A8938A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E18667" w14:textId="0E2D0828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EDDB63" w14:textId="659E9240" w:rsidR="006F366B" w:rsidRPr="00CC3D92" w:rsidRDefault="003541C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Представлення інтересів Адміністрації судноплавства в судах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0620C1" w14:textId="2F834BCD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отримання представником неправомірної вигоди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238A5F" w14:textId="4B38234B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Порушення посадовими особами  вимог антикорупційного законодавства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801489" w14:textId="21B8FF52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Зацікавленість посадових осіб в отриманні неправомірної вигоди. Представники в суді можуть вчиняти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480C8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вчиняти певні дії в інтересах третіх осіб під час судових засідань або підготовки процесуальних документів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A0A430" w14:textId="50EF8F1F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Контроль з боку Голови Адміністрації судноплавства. Моніторинг судової практики.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C785CD" w14:textId="61D844A3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64E46F" w14:textId="51279F11" w:rsidR="006F366B" w:rsidRPr="00CC3D92" w:rsidRDefault="00B2303C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541C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9C63CB" w14:textId="780E2471" w:rsidR="006F366B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541C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D4B1F" w14:textId="5198F803" w:rsidR="006F366B" w:rsidRPr="00CC3D92" w:rsidRDefault="003541C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Обов’язкове погодження керівництвом Департаменту  правової позиції. Проведення моніторингу прийнятих судових рішень на предмет особистого інтересу представника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27BF13" w14:textId="746F79C2" w:rsidR="006F366B" w:rsidRPr="00CC3D92" w:rsidRDefault="00480C8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3541C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DA1B6F" w14:textId="6D542A81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нормативно-правової роботи та юридичного забезпечення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5B61DE" w14:textId="4B4944E0" w:rsidR="006F366B" w:rsidRPr="00CC3D92" w:rsidRDefault="003541C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C654BE" w14:textId="4EA17857" w:rsidR="006F366B" w:rsidRPr="00CC3D92" w:rsidRDefault="003541C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Погодження правової позиції з керівництвом Департаменту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ADE7B9" w14:textId="404970F7" w:rsidR="006F366B" w:rsidRPr="00CC3D92" w:rsidRDefault="003541C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кожного разу перед судовим засіданням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9F70DC" w14:textId="739EEC2D" w:rsidR="006F366B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3541C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B97ACB" w14:textId="3B517062" w:rsidR="006F366B" w:rsidRPr="00CC3D92" w:rsidRDefault="003541C2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3E53FAEF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EF0DAD" w14:textId="11307D43" w:rsidR="006F366B" w:rsidRPr="00CC3D92" w:rsidRDefault="006F366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EC9F62" w14:textId="1100DBA0" w:rsidR="006F366B" w:rsidRPr="00CC3D92" w:rsidRDefault="002171E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Надання адміністративних послуг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AB3E0D" w14:textId="35A5A4DA" w:rsidR="006F366B" w:rsidRPr="00CC3D92" w:rsidRDefault="002171E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Безпосередні контакти між суб’єктами одержання адміністративних послуг та посадовими особами Адміністрації судноп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лавства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78758E" w14:textId="2CA0EFB2" w:rsidR="006F366B" w:rsidRPr="00CC3D92" w:rsidRDefault="002171E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Можливість впливу на результат надання адміністративної послуги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429397" w14:textId="462E92C4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24DAE0" w14:textId="55B1E4A3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Контроль керівництва Адміністрації судноплавства та керівника структурного підрозділу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EDA71A" w14:textId="34E77713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 2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308796" w14:textId="31567E6A" w:rsidR="006F366B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CE31A0" w14:textId="049DCE53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4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14A4AE" w14:textId="77777777" w:rsidR="00D66211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Впровадження автоматизованих систем подання документів для надання адміністративних послуг.</w:t>
            </w:r>
          </w:p>
          <w:p w14:paraId="2A52A071" w14:textId="338E89D3" w:rsidR="006F366B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Поширення на вебсайтах інформації для споживачів адміністративних послуг</w:t>
            </w:r>
            <w:r w:rsidR="00883E7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порядок їх отримання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E1E1C6" w14:textId="32D77F59" w:rsidR="006F366B" w:rsidRPr="00CC3D92" w:rsidRDefault="00883E72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</w:t>
            </w:r>
            <w:r w:rsidR="00D66211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9F30C8" w14:textId="35790798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надання адміністративних послуг у сферах морського і внутрішнього водного транспорту та судноплавства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1F7047" w14:textId="66ABC5FA" w:rsidR="006F366B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Потребує додаткових видатків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2324F0" w14:textId="103D3CB2" w:rsidR="006F366B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Впровадження автоматизованої системи подання документів для надання адміністративних послуг. Забезпечення поширення на офіційному вебсайті в розділі «Послуги»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інформації щодо надання адміністративних послуг,  та забезпечення </w:t>
            </w:r>
            <w:r w:rsidR="0004151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її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оновлення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6871BA" w14:textId="0BB23F3A" w:rsidR="00D66211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Забезпечення впровадження автоматизованих систем подання документів для надання адміністр</w:t>
            </w:r>
            <w:r w:rsidR="00B2303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тивних послуг залежи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ть від бюджетних асигнувань.</w:t>
            </w:r>
          </w:p>
          <w:p w14:paraId="78DFB207" w14:textId="77777777" w:rsidR="00D66211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даний час забезпечено можливість подання документів електронній формі.</w:t>
            </w:r>
          </w:p>
          <w:p w14:paraId="544D0086" w14:textId="38BD9EFE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 оновлюється інформація на вебсайті Адміністрації судноплавства.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19FFE7" w14:textId="50303EA1" w:rsidR="006F366B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</w:t>
            </w:r>
            <w:r w:rsidR="00D66211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7B17FC" w14:textId="0042BBAB" w:rsidR="006F366B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0264BCCF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CFAD8E" w14:textId="6161EB63" w:rsidR="00D66211" w:rsidRPr="00CC3D92" w:rsidRDefault="00D6621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41F5DB" w14:textId="50818556" w:rsidR="00D66211" w:rsidRPr="00CC3D92" w:rsidRDefault="00D66211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Надання адміністративних послуг у сфері реєстр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ації суден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81A129" w14:textId="64D79DC1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Безпідставна відмова у видачі реєстраційних докуме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нтів на судно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106A20" w14:textId="65DF86EB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 обґрунтован</w:t>
            </w:r>
            <w:r w:rsidR="00DB723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надання відмови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C42B5C" w14:textId="4B47DCCE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посадових осіб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C04B40" w14:textId="369E6ECF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керівництва Адміністрації судноплавства та керівника структурного підрозділу, Моніторинг процедури здійснення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реєстраційних дій Державною аудиторською службою України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13C692" w14:textId="3333DE10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Середній 2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B58D3A" w14:textId="7B62CA52" w:rsidR="00D66211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F7E121" w14:textId="12C6B9D0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4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84A0F5" w14:textId="4743EF16" w:rsidR="00D66211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Аналіз справи відповідно до законодавства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1F950C" w14:textId="1437E7C0" w:rsidR="00D66211" w:rsidRPr="00CC3D92" w:rsidRDefault="001E4895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676C54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остійно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A5B01F" w14:textId="61D0C57B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надання адміністративних послуг у сферах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морського і внутрішнього водного транспорту та судноплавства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626909" w14:textId="42C0410F" w:rsidR="00D66211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 потребує додаткового фінансування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643498" w14:textId="71F5DD0C" w:rsidR="00D66211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Внесення змін до наказу Міністерства інфраструктури України від 11.04.2022 № 203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427924" w14:textId="3FC2728A" w:rsidR="00D66211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Постійне  здійснення контролю за результатами опрацювання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наданих документів про надання адміністративної послуги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2E56AE" w14:textId="21B0DE0B" w:rsidR="00D66211" w:rsidRPr="00CC3D92" w:rsidRDefault="00B2303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</w:t>
            </w:r>
            <w:r w:rsidR="00676C54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C0540A" w14:textId="6145E468" w:rsidR="00D66211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7ADB445E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00FBBD" w14:textId="2A5D4F6B" w:rsidR="00676C54" w:rsidRPr="00CC3D92" w:rsidRDefault="00676C54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C65E33" w14:textId="4833A151" w:rsidR="00676C54" w:rsidRPr="00CC3D92" w:rsidRDefault="00676C54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Підготовка та дипломування моряків 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188A85" w14:textId="509E828B" w:rsidR="00676C54" w:rsidRPr="00CC3D92" w:rsidRDefault="00040A9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Перевищення повноважень під час здійснення оглядів підприємств, організацій та установ, що проводять підготовку моряків, членів екіпажів торговельних суден, у тому числі тих, що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здійснюють плавання внутрішніми водними шляхами України, та навчально-тренажерних закладів, що проводять підготовку судноводіїв малих суден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86C871" w14:textId="1965F466" w:rsidR="00676C54" w:rsidRPr="00CC3D92" w:rsidRDefault="00040A9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Перевищення повноважень під час здійснення оглядів </w:t>
            </w:r>
            <w:r w:rsidR="004C4C0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ТЗ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C44C66" w14:textId="19431188" w:rsidR="00676C54" w:rsidRPr="00CC3D92" w:rsidRDefault="00040A9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посадових осіб 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B3CB7B" w14:textId="24B2CB90" w:rsidR="00676C54" w:rsidRPr="00CC3D92" w:rsidRDefault="00040A9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Контроль з боку керівництва Адміністрації судноплавства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921322" w14:textId="3D045776" w:rsidR="00676C54" w:rsidRPr="00CC3D92" w:rsidRDefault="00110AF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040A9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F4FD4F" w14:textId="6A9C2786" w:rsidR="00676C54" w:rsidRPr="00CC3D92" w:rsidRDefault="00110AF0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040A9A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A68037" w14:textId="68579C8E" w:rsidR="00676C54" w:rsidRPr="00CC3D92" w:rsidRDefault="00040A9A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918084" w14:textId="797A8A67" w:rsidR="00676C54" w:rsidRPr="00CC3D92" w:rsidRDefault="00DB10A3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Внесення змін до Положення про огляд підприємств, організацій та установ, що проводять підготовку моряків, затвердженого наказом Міністерства транспорту та зв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язку України </w:t>
            </w:r>
            <w:r w:rsidR="00A569C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25.11.2004 № 1042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FC2D2F" w14:textId="50470D1C" w:rsidR="00676C54" w:rsidRPr="00CC3D92" w:rsidRDefault="00D06F3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 202</w:t>
            </w:r>
            <w:r w:rsidR="00DB10A3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A569C5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5E26C3" w14:textId="2FED02AC" w:rsidR="00676C54" w:rsidRPr="00CC3D92" w:rsidRDefault="00D06F3D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з питань  підготовки та дипломування моряків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01D3A4" w14:textId="7514E267" w:rsidR="00676C54" w:rsidRPr="00CC3D92" w:rsidRDefault="00D06F3D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потребує додаткових витрат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211B63" w14:textId="249079A9" w:rsidR="00676C54" w:rsidRPr="00CC3D92" w:rsidRDefault="00122AF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Розроблено методичні рекомендації щодо проведення оглядів НТЗ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247283" w14:textId="45253BFD" w:rsidR="00676C54" w:rsidRPr="00CC3D92" w:rsidRDefault="00122AF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у вказаний період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4A0BB8" w14:textId="13BA532F" w:rsidR="00676C54" w:rsidRPr="00CC3D92" w:rsidRDefault="00122A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B05C8D" w14:textId="3CC8CEB9" w:rsidR="00676C54" w:rsidRPr="00CC3D92" w:rsidRDefault="00122A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100%</w:t>
            </w:r>
          </w:p>
        </w:tc>
      </w:tr>
      <w:tr w:rsidR="0002653C" w:rsidRPr="00CC3D92" w14:paraId="07E49549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F46E9E" w14:textId="5155EC00" w:rsidR="008A47F8" w:rsidRPr="00CC3D92" w:rsidRDefault="008A47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448DA6" w14:textId="16A248CA" w:rsidR="008A47F8" w:rsidRPr="00CC3D92" w:rsidRDefault="008A47F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Підготовка та дипломування моряків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FAE2A9" w14:textId="59B39048" w:rsidR="008A47F8" w:rsidRPr="00CC3D92" w:rsidRDefault="008A47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Недотримання строків видачі посвідчення особи моряка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D64092" w14:textId="03A541D6" w:rsidR="008A47F8" w:rsidRPr="00CC3D92" w:rsidRDefault="008A47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Порушення строку (терміновий 7 робочих днів) видачі посвідчення особи моряка з метою задоволення приватного інтересу або отримання неправомірної вигоди від третіх осіб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77C5FB" w14:textId="75DB4F68" w:rsidR="008A47F8" w:rsidRPr="00CC3D92" w:rsidRDefault="008A47F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Надання переваг </w:t>
            </w:r>
            <w:r w:rsidR="00C749B8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271357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="00C749B8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видачі документів, виготовлення документів у день звернення за послугою з метою задоволення приватного інтересу або отримання </w:t>
            </w:r>
            <w:r w:rsidR="00C749B8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неправомірної вигоди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37EB2B" w14:textId="7AC62824" w:rsidR="00592FFC" w:rsidRPr="00CC3D92" w:rsidRDefault="00592FF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Розробка та впровадження відомчої інформаційної системи, призначеної для ведення</w:t>
            </w:r>
          </w:p>
          <w:p w14:paraId="17F2F6B8" w14:textId="7945A79C" w:rsidR="008A47F8" w:rsidRPr="00CC3D92" w:rsidRDefault="00592FFC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обліку даних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EF9DB9" w14:textId="79825079" w:rsidR="008A47F8" w:rsidRPr="00CC3D92" w:rsidRDefault="00110AF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DA6A2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82BAD8" w14:textId="1756305D" w:rsidR="008A47F8" w:rsidRPr="00CC3D92" w:rsidRDefault="00110AF0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</w:t>
            </w:r>
            <w:r w:rsidR="00DA6A2E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ередній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46B4E2" w14:textId="608A23BE" w:rsidR="008A47F8" w:rsidRPr="00CC3D92" w:rsidRDefault="00110AF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749B8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исокий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95EF5D" w14:textId="2AE8EEFF" w:rsidR="008A47F8" w:rsidRPr="00CC3D92" w:rsidRDefault="00C749B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та аналіз виданих документів з боку керівництва Департаменту з питань підготовки та дипломування моряків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0C6B2C" w14:textId="5232B95A" w:rsidR="008A47F8" w:rsidRPr="00CC3D92" w:rsidRDefault="00592FFC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 2025</w:t>
            </w:r>
            <w:r w:rsidR="00AB1F3F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784D27" w14:textId="6CAF2316" w:rsidR="008A47F8" w:rsidRPr="00CC3D92" w:rsidRDefault="00C749B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з питань підготовки та дипломування моряків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34A6AA" w14:textId="367D3C35" w:rsidR="008A47F8" w:rsidRPr="00CC3D92" w:rsidRDefault="00C749B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EA84E7" w14:textId="22207B18" w:rsidR="008A47F8" w:rsidRPr="00CC3D92" w:rsidRDefault="00C749B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Проводяться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моніторинги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дотриманням строків видачі посвідчення особи моряка 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F94DCA" w14:textId="2E8A2690" w:rsidR="008A47F8" w:rsidRPr="00CC3D92" w:rsidRDefault="00C749B8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постійно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29F6E2" w14:textId="04F6236E" w:rsidR="008A47F8" w:rsidRPr="00CC3D92" w:rsidRDefault="00110AF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749B8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F0EDED" w14:textId="6B606C81" w:rsidR="008A47F8" w:rsidRPr="00CC3D92" w:rsidRDefault="00C749B8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  <w:tr w:rsidR="0002653C" w:rsidRPr="00CC3D92" w14:paraId="490E1E4A" w14:textId="77777777" w:rsidTr="00E649AD">
        <w:trPr>
          <w:trHeight w:val="45"/>
          <w:tblCellSpacing w:w="0" w:type="auto"/>
        </w:trPr>
        <w:tc>
          <w:tcPr>
            <w:tcW w:w="13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CDFAE9" w14:textId="39C847DC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F626C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1F8A57" w14:textId="6B11B179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Підготовка та дипломування моряків</w:t>
            </w:r>
          </w:p>
        </w:tc>
        <w:tc>
          <w:tcPr>
            <w:tcW w:w="28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0B39AC" w14:textId="58088FB6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винесення неправомірного рішення про видачу</w:t>
            </w:r>
            <w:r w:rsidR="008878E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8878E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відмову у видачі морякам кваліфікаційних документів</w:t>
            </w:r>
          </w:p>
        </w:tc>
        <w:tc>
          <w:tcPr>
            <w:tcW w:w="4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B03DF3" w14:textId="2C06EB7B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Підготовка рішення Адміністрації судноплавства про видачу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відмову у видачі морякам кваліфікаційних документів з порушенням вимог законодавства з метою незаконного збагачення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454B2D" w14:textId="02E71295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Дискреційні повноваження ДККМ п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 час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підготов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рішення про видачу</w:t>
            </w:r>
            <w:r w:rsidR="008878E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відмову у видачі морякам кваліфікаційних документів</w:t>
            </w:r>
          </w:p>
        </w:tc>
        <w:tc>
          <w:tcPr>
            <w:tcW w:w="4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61C428" w14:textId="040B17ED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Контроль з боку голови ДККМ, можливість оскарження рішення до Апеляційної комісії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AEFEF5" w14:textId="6E7188F4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 2</w:t>
            </w:r>
          </w:p>
        </w:tc>
        <w:tc>
          <w:tcPr>
            <w:tcW w:w="1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77E155" w14:textId="47F0D8A1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Середній 2</w:t>
            </w:r>
          </w:p>
        </w:tc>
        <w:tc>
          <w:tcPr>
            <w:tcW w:w="1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0C5C0A" w14:textId="2273FB59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4</w:t>
            </w:r>
          </w:p>
        </w:tc>
        <w:tc>
          <w:tcPr>
            <w:tcW w:w="42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16E556" w14:textId="75C07D85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Впровадження Електронної системи для подачі заяв моряків через Портал Дія</w:t>
            </w:r>
          </w:p>
          <w:p w14:paraId="51339D29" w14:textId="749C5BA4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 боку Уповноважених осіб на видачу кваліфікаційних документів </w:t>
            </w:r>
            <w:r w:rsidR="008878E2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(внесення змін по постанови К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абінету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іністрів 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="00AB1F3F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країни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 30.12.</w:t>
            </w:r>
            <w:r w:rsidR="0047470F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22 </w:t>
            </w:r>
            <w:r w:rsidR="00E805D9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1499)</w:t>
            </w:r>
          </w:p>
        </w:tc>
        <w:tc>
          <w:tcPr>
            <w:tcW w:w="21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78AF60" w14:textId="4B35BC31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</w:t>
            </w:r>
            <w:r w:rsidR="008B174D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  <w:p w14:paraId="47981B39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737E6BA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017A168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37F5D5B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397B48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74BB31A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6011CFF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B6C1EF4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C3D42DA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6DF8E0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D097B33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CE61ECF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4210A35" w14:textId="56BD10D2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2023</w:t>
            </w:r>
            <w:r w:rsidR="007840A1"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9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7382AF" w14:textId="77777777" w:rsidR="00232A1B" w:rsidRPr="00E649AD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649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цифрового розвитку, цифрової трансформації і цифровізації </w:t>
            </w:r>
          </w:p>
          <w:p w14:paraId="07D9DA8E" w14:textId="77777777" w:rsidR="00232A1B" w:rsidRPr="00E649AD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125BEAF" w14:textId="77777777" w:rsidR="007840A1" w:rsidRPr="00E649AD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нормативно-правової роботи та юридичного забезпечення</w:t>
            </w:r>
          </w:p>
          <w:p w14:paraId="260D14C3" w14:textId="77777777" w:rsidR="007840A1" w:rsidRPr="00E649AD" w:rsidRDefault="007840A1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29164B3" w14:textId="2D748AF4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Департамент з питань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товки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дипломування</w:t>
            </w:r>
            <w:proofErr w:type="spellEnd"/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моряків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D111E0" w14:textId="0948DA0C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41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09F504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Впровадження Електронної системи</w:t>
            </w:r>
          </w:p>
          <w:p w14:paraId="6C3DB8B0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3B2B69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7BEBD8E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7741B8B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BA8177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5A3B3EC" w14:textId="7777777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A798F7" w14:textId="16E9E061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Внесено зміни до законодавства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A4065C" w14:textId="4B8E3BF7" w:rsidR="00232A1B" w:rsidRPr="00CC3D92" w:rsidRDefault="00232A1B" w:rsidP="00E649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протягом вказаного періоду</w:t>
            </w:r>
          </w:p>
        </w:tc>
        <w:tc>
          <w:tcPr>
            <w:tcW w:w="2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94CDF8" w14:textId="6B038D87" w:rsidR="00232A1B" w:rsidRPr="00CC3D92" w:rsidRDefault="00110AF0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232A1B"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иконано</w:t>
            </w:r>
          </w:p>
        </w:tc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AE4EB3" w14:textId="58F1B164" w:rsidR="00232A1B" w:rsidRPr="00CC3D92" w:rsidRDefault="00232A1B" w:rsidP="00E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3D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на 100%</w:t>
            </w:r>
          </w:p>
        </w:tc>
      </w:tr>
    </w:tbl>
    <w:p w14:paraId="4B83729B" w14:textId="77777777" w:rsidR="00DA7530" w:rsidRPr="00CC3D92" w:rsidRDefault="00DA7530" w:rsidP="00E649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10DD295" w14:textId="059C4030" w:rsidR="00EE037D" w:rsidRPr="00E649AD" w:rsidRDefault="00EE037D" w:rsidP="00E649AD">
      <w:pPr>
        <w:spacing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E649AD">
        <w:rPr>
          <w:rFonts w:ascii="Times New Roman" w:hAnsi="Times New Roman"/>
          <w:sz w:val="18"/>
          <w:szCs w:val="18"/>
          <w:lang w:val="uk-UA"/>
        </w:rPr>
        <w:t>______________________________________________________________________________________</w:t>
      </w:r>
    </w:p>
    <w:sectPr w:rsidR="00EE037D" w:rsidRPr="00E649AD" w:rsidSect="00210446"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3059" w14:textId="77777777" w:rsidR="006C2F18" w:rsidRDefault="006C2F18" w:rsidP="00210446">
      <w:pPr>
        <w:spacing w:after="0" w:line="240" w:lineRule="auto"/>
      </w:pPr>
      <w:r>
        <w:separator/>
      </w:r>
    </w:p>
  </w:endnote>
  <w:endnote w:type="continuationSeparator" w:id="0">
    <w:p w14:paraId="41631494" w14:textId="77777777" w:rsidR="006C2F18" w:rsidRDefault="006C2F18" w:rsidP="0021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F7F5" w14:textId="77777777" w:rsidR="006C2F18" w:rsidRDefault="006C2F18" w:rsidP="00210446">
      <w:pPr>
        <w:spacing w:after="0" w:line="240" w:lineRule="auto"/>
      </w:pPr>
      <w:r>
        <w:separator/>
      </w:r>
    </w:p>
  </w:footnote>
  <w:footnote w:type="continuationSeparator" w:id="0">
    <w:p w14:paraId="71E9890F" w14:textId="77777777" w:rsidR="006C2F18" w:rsidRDefault="006C2F18" w:rsidP="0021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7785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CE1B96C" w14:textId="02595A8D" w:rsidR="00210446" w:rsidRPr="00990290" w:rsidRDefault="0099029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ptab w:relativeTo="margin" w:alignment="left" w:leader="none"/>
        </w:r>
        <w:r>
          <w:ptab w:relativeTo="margin" w:alignment="center" w:leader="none"/>
        </w:r>
        <w:r w:rsidR="00210446" w:rsidRPr="00990290">
          <w:rPr>
            <w:rFonts w:ascii="Times New Roman" w:hAnsi="Times New Roman"/>
            <w:sz w:val="24"/>
            <w:szCs w:val="24"/>
          </w:rPr>
          <w:fldChar w:fldCharType="begin"/>
        </w:r>
        <w:r w:rsidR="00210446" w:rsidRPr="00990290">
          <w:rPr>
            <w:rFonts w:ascii="Times New Roman" w:hAnsi="Times New Roman"/>
            <w:sz w:val="24"/>
            <w:szCs w:val="24"/>
          </w:rPr>
          <w:instrText>PAGE   \* MERGEFORMAT</w:instrText>
        </w:r>
        <w:r w:rsidR="00210446" w:rsidRPr="00990290">
          <w:rPr>
            <w:rFonts w:ascii="Times New Roman" w:hAnsi="Times New Roman"/>
            <w:sz w:val="24"/>
            <w:szCs w:val="24"/>
          </w:rPr>
          <w:fldChar w:fldCharType="separate"/>
        </w:r>
        <w:r w:rsidR="00210446" w:rsidRPr="00990290">
          <w:rPr>
            <w:rFonts w:ascii="Times New Roman" w:hAnsi="Times New Roman"/>
            <w:sz w:val="24"/>
            <w:szCs w:val="24"/>
            <w:lang w:val="uk-UA"/>
          </w:rPr>
          <w:t>2</w:t>
        </w:r>
        <w:r w:rsidR="00210446" w:rsidRPr="00990290">
          <w:rPr>
            <w:rFonts w:ascii="Times New Roman" w:hAnsi="Times New Roman"/>
            <w:sz w:val="24"/>
            <w:szCs w:val="24"/>
          </w:rPr>
          <w:fldChar w:fldCharType="end"/>
        </w:r>
        <w:r w:rsidRPr="00990290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990290">
          <w:rPr>
            <w:rFonts w:ascii="Times New Roman" w:hAnsi="Times New Roman"/>
            <w:sz w:val="24"/>
            <w:szCs w:val="24"/>
            <w:lang w:val="uk-UA"/>
          </w:rPr>
          <w:ptab w:relativeTo="margin" w:alignment="right" w:leader="none"/>
        </w:r>
        <w:r w:rsidR="00CF7022">
          <w:rPr>
            <w:rFonts w:ascii="Times New Roman" w:hAnsi="Times New Roman"/>
            <w:sz w:val="24"/>
            <w:szCs w:val="24"/>
            <w:lang w:val="uk-UA"/>
          </w:rPr>
          <w:t>П</w:t>
        </w:r>
        <w:r w:rsidRPr="00990290">
          <w:rPr>
            <w:rFonts w:ascii="Times New Roman" w:hAnsi="Times New Roman"/>
            <w:sz w:val="24"/>
            <w:szCs w:val="24"/>
            <w:lang w:val="uk-UA"/>
          </w:rPr>
          <w:t>родовження додатка 2</w:t>
        </w:r>
      </w:p>
    </w:sdtContent>
  </w:sdt>
  <w:p w14:paraId="189265D8" w14:textId="77777777" w:rsidR="00210446" w:rsidRPr="00990290" w:rsidRDefault="0021044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3"/>
    <w:rsid w:val="00001CB5"/>
    <w:rsid w:val="0002653C"/>
    <w:rsid w:val="00034026"/>
    <w:rsid w:val="00040A9A"/>
    <w:rsid w:val="0004151E"/>
    <w:rsid w:val="00066269"/>
    <w:rsid w:val="00072E24"/>
    <w:rsid w:val="00076AC5"/>
    <w:rsid w:val="00083683"/>
    <w:rsid w:val="0008394B"/>
    <w:rsid w:val="000B1AF6"/>
    <w:rsid w:val="000B4EE3"/>
    <w:rsid w:val="000D6EFB"/>
    <w:rsid w:val="00110AF0"/>
    <w:rsid w:val="00122AF8"/>
    <w:rsid w:val="00151E52"/>
    <w:rsid w:val="001932B6"/>
    <w:rsid w:val="001B46D8"/>
    <w:rsid w:val="001C1AF1"/>
    <w:rsid w:val="001D30EA"/>
    <w:rsid w:val="001E4895"/>
    <w:rsid w:val="001E6C5E"/>
    <w:rsid w:val="00210446"/>
    <w:rsid w:val="002112BC"/>
    <w:rsid w:val="002171EB"/>
    <w:rsid w:val="00222015"/>
    <w:rsid w:val="0023257E"/>
    <w:rsid w:val="00232A1B"/>
    <w:rsid w:val="00250D4B"/>
    <w:rsid w:val="00270D0D"/>
    <w:rsid w:val="00271357"/>
    <w:rsid w:val="002927F2"/>
    <w:rsid w:val="002F3389"/>
    <w:rsid w:val="003541C2"/>
    <w:rsid w:val="00365466"/>
    <w:rsid w:val="003761D3"/>
    <w:rsid w:val="003B46A0"/>
    <w:rsid w:val="003D1234"/>
    <w:rsid w:val="004159AD"/>
    <w:rsid w:val="004277ED"/>
    <w:rsid w:val="00430B32"/>
    <w:rsid w:val="00455E29"/>
    <w:rsid w:val="00461538"/>
    <w:rsid w:val="00471416"/>
    <w:rsid w:val="0047470F"/>
    <w:rsid w:val="00480C8B"/>
    <w:rsid w:val="004B2E46"/>
    <w:rsid w:val="004C4C05"/>
    <w:rsid w:val="004E3EFE"/>
    <w:rsid w:val="004F34CF"/>
    <w:rsid w:val="00504EEE"/>
    <w:rsid w:val="00547260"/>
    <w:rsid w:val="00553295"/>
    <w:rsid w:val="00560C99"/>
    <w:rsid w:val="00566F93"/>
    <w:rsid w:val="005840A0"/>
    <w:rsid w:val="00591C5F"/>
    <w:rsid w:val="00592FFC"/>
    <w:rsid w:val="005A13D0"/>
    <w:rsid w:val="005A1E53"/>
    <w:rsid w:val="005A4DFC"/>
    <w:rsid w:val="005B02C4"/>
    <w:rsid w:val="005B0C09"/>
    <w:rsid w:val="00644F83"/>
    <w:rsid w:val="00676C54"/>
    <w:rsid w:val="006800E7"/>
    <w:rsid w:val="00697441"/>
    <w:rsid w:val="006A6974"/>
    <w:rsid w:val="006C2F18"/>
    <w:rsid w:val="006F12B1"/>
    <w:rsid w:val="006F366B"/>
    <w:rsid w:val="00703804"/>
    <w:rsid w:val="007134B1"/>
    <w:rsid w:val="007366B8"/>
    <w:rsid w:val="007840A1"/>
    <w:rsid w:val="00796738"/>
    <w:rsid w:val="007A6924"/>
    <w:rsid w:val="007B17AF"/>
    <w:rsid w:val="007B2693"/>
    <w:rsid w:val="007B6ABE"/>
    <w:rsid w:val="00804C56"/>
    <w:rsid w:val="00821EBB"/>
    <w:rsid w:val="00833B0C"/>
    <w:rsid w:val="00844CD1"/>
    <w:rsid w:val="008701ED"/>
    <w:rsid w:val="008743A0"/>
    <w:rsid w:val="00883E72"/>
    <w:rsid w:val="008878E2"/>
    <w:rsid w:val="008960B6"/>
    <w:rsid w:val="008A47F8"/>
    <w:rsid w:val="008A776C"/>
    <w:rsid w:val="008B174D"/>
    <w:rsid w:val="008C2237"/>
    <w:rsid w:val="008D1DB6"/>
    <w:rsid w:val="008E15BA"/>
    <w:rsid w:val="008E3D2B"/>
    <w:rsid w:val="00933195"/>
    <w:rsid w:val="00951E56"/>
    <w:rsid w:val="009547C6"/>
    <w:rsid w:val="00955D3E"/>
    <w:rsid w:val="0096227B"/>
    <w:rsid w:val="00974E29"/>
    <w:rsid w:val="009809D6"/>
    <w:rsid w:val="00990290"/>
    <w:rsid w:val="00993105"/>
    <w:rsid w:val="009C73C0"/>
    <w:rsid w:val="00A155BD"/>
    <w:rsid w:val="00A261F4"/>
    <w:rsid w:val="00A30C53"/>
    <w:rsid w:val="00A569C5"/>
    <w:rsid w:val="00A651B3"/>
    <w:rsid w:val="00A65931"/>
    <w:rsid w:val="00A769EF"/>
    <w:rsid w:val="00A86C78"/>
    <w:rsid w:val="00A934DA"/>
    <w:rsid w:val="00AA2F01"/>
    <w:rsid w:val="00AA6B7C"/>
    <w:rsid w:val="00AB1F3F"/>
    <w:rsid w:val="00B00FE2"/>
    <w:rsid w:val="00B2303C"/>
    <w:rsid w:val="00B253DA"/>
    <w:rsid w:val="00B479AD"/>
    <w:rsid w:val="00B82155"/>
    <w:rsid w:val="00BF5454"/>
    <w:rsid w:val="00BF626C"/>
    <w:rsid w:val="00BF78D5"/>
    <w:rsid w:val="00C01591"/>
    <w:rsid w:val="00C241CB"/>
    <w:rsid w:val="00C749B8"/>
    <w:rsid w:val="00C76083"/>
    <w:rsid w:val="00C81F25"/>
    <w:rsid w:val="00CA0037"/>
    <w:rsid w:val="00CB0DC9"/>
    <w:rsid w:val="00CC3D92"/>
    <w:rsid w:val="00CF7022"/>
    <w:rsid w:val="00D06F3D"/>
    <w:rsid w:val="00D16FDD"/>
    <w:rsid w:val="00D43CF5"/>
    <w:rsid w:val="00D529C7"/>
    <w:rsid w:val="00D651B6"/>
    <w:rsid w:val="00D66211"/>
    <w:rsid w:val="00D83F26"/>
    <w:rsid w:val="00DA6A2E"/>
    <w:rsid w:val="00DA7530"/>
    <w:rsid w:val="00DB10A3"/>
    <w:rsid w:val="00DB1A10"/>
    <w:rsid w:val="00DB7232"/>
    <w:rsid w:val="00DC243C"/>
    <w:rsid w:val="00DD31FB"/>
    <w:rsid w:val="00E0143A"/>
    <w:rsid w:val="00E421A0"/>
    <w:rsid w:val="00E649AD"/>
    <w:rsid w:val="00E762E8"/>
    <w:rsid w:val="00E805D9"/>
    <w:rsid w:val="00E909BE"/>
    <w:rsid w:val="00EA1ECF"/>
    <w:rsid w:val="00EA21A5"/>
    <w:rsid w:val="00EA6787"/>
    <w:rsid w:val="00EB224E"/>
    <w:rsid w:val="00EC1866"/>
    <w:rsid w:val="00EC66E7"/>
    <w:rsid w:val="00EC7B0F"/>
    <w:rsid w:val="00ED4295"/>
    <w:rsid w:val="00EE037D"/>
    <w:rsid w:val="00EE4246"/>
    <w:rsid w:val="00F27DFB"/>
    <w:rsid w:val="00F30765"/>
    <w:rsid w:val="00F56229"/>
    <w:rsid w:val="00F67792"/>
    <w:rsid w:val="00F70015"/>
    <w:rsid w:val="00F7728B"/>
    <w:rsid w:val="00FB0CD4"/>
    <w:rsid w:val="00FB59D9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FFEDF"/>
  <w15:docId w15:val="{2D2B06E1-58FC-4EEE-AFE7-1C3C2E5B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8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083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368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header"/>
    <w:basedOn w:val="a"/>
    <w:link w:val="a4"/>
    <w:uiPriority w:val="99"/>
    <w:unhideWhenUsed/>
    <w:rsid w:val="00210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0446"/>
    <w:rPr>
      <w:rFonts w:ascii="Calibri" w:hAnsi="Calibri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210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0446"/>
    <w:rPr>
      <w:rFonts w:ascii="Calibri" w:hAnsi="Calibri"/>
      <w:sz w:val="22"/>
      <w:szCs w:val="22"/>
      <w:lang w:val="en-US" w:eastAsia="en-US"/>
    </w:rPr>
  </w:style>
  <w:style w:type="paragraph" w:styleId="a7">
    <w:name w:val="Revision"/>
    <w:hidden/>
    <w:uiPriority w:val="99"/>
    <w:semiHidden/>
    <w:rsid w:val="0055329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AB93-092D-4FCB-B280-9114D46B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3021</Words>
  <Characters>23571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 Оксана</dc:creator>
  <cp:keywords/>
  <dc:description/>
  <cp:lastModifiedBy>Александровна Оксана</cp:lastModifiedBy>
  <cp:revision>2</cp:revision>
  <cp:lastPrinted>2023-07-06T06:03:00Z</cp:lastPrinted>
  <dcterms:created xsi:type="dcterms:W3CDTF">2023-09-20T08:18:00Z</dcterms:created>
  <dcterms:modified xsi:type="dcterms:W3CDTF">2023-09-20T08:18:00Z</dcterms:modified>
</cp:coreProperties>
</file>