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F7200A" w:rsidRDefault="00F7200A" w:rsidP="00F7200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1E0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126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461CDE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C0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A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начальника відділу міжнародних відносин</w:t>
      </w:r>
      <w:r w:rsidR="00461CD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Департаменту правового забезпечення та міжнародних відносин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283E81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в межах компетенції в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та наданні адміністративних послуг на 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в організації та розвитку міжнародного співробітництва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та наданні адміністративних послуг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Здійснення моніторингу та координація залучення надання використання міжнародної допомоги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Координація роботи структурних підрозділів Морської адміністрації спрямованої на розвиток міжнародного співробітництва з питань морського та річкового транспорту, торговельного мореплавства,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в межах компетенції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-гідрографічним забезпеченням мореплавства (крім суден флоту рибної промисловості).</w:t>
            </w:r>
          </w:p>
          <w:p w:rsid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у межах компетенції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дотримання і виконання зобов’язань, взятих за міжнародними договорами України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Підготовка пропозицій керівництву Департаменту та Морської адміністрації щодо укладення, припинення чи зупинення дії, денонсації та приєднання до міжнародних договорів України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Участь у розробленні та опрацюванні в установленому порядку проектів міжнародних договорів з питань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у межах компетенції узагальнення практики застосування міжнародного законодавства у сферах морського та річкового транспорту,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та участь в організації міжнародних заходів за участю Морської адміністрації.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представлення інтересів Морської адміністрації у міжнародних заходах та здійснення інформаційно-аналітичного забезпечення міжнародної діяльності, що стосується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сфери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здійснення службових закордонних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керівників, державних службовців та працівників Морської адміністрації.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Вносить в установленому порядку пропозиції керівництву Департаменту та Морської адміністрації стосовно пріоритетів діяльності Морської адміністрації щодо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в контексті міжнародного співробітництва, розробляє заходи щодо розвитку співробітництва із зарубіжними країнами та міжнародними організаціями.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Вносить в межах компетенції на розгляд керівництва Департаменту та Морської адміністрації пропозиції щодо розроблення, внесення змін і визнання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такми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 втратили чинність, актів національного законодавства, приведення їх у відповідність із міжнародними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нормати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стандартами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-гідрографічного забезпечення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Бере участь та безпосередньо займається розробленнями та опрацюванням проектів міжнародних договорів та інших нормативно-правових актів з питань, що відносяться до компетенції Відділу, проводить експертизу таких проектів міжнародних договорів. 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Бере участь в межах компетенції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-гідрографічним забезпеченням мореплавства (крім суден флоту рибної промисловості).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Бере участь у межах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комтепенції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дотримання і виконання зобов’язань, взятих за міжнародними договорами України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Готує пропозиції п керівництву Департаменту та Морської адміністрації щодо укладення, припинення чи зупинення дії, денонсації та приєднання до міжнародних договорів України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Бере участь у розробленні та опрацюванні в установленому порядку проектів міжнародних договорів з питань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Забезпечує у межах компетенції узагальнення практики застосування міжнародного законодавства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організацію та участь в організації міжнародних заходів за участю Морської адміністрації.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Забезпечує в межах компетенції здійснення попередніх перекладів текстів міжнародних договорів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-гідрографічного забезпечення мореплавства (крім сфери безпеки мореплавства суден флоту рибної промисловості); Здійснення моніторингу та координація залучення надання використання міжнародної допомоги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Координація роботи структурних підрозділів Морської адміністрації спрямованої на розвиток міжнародного співробітництва з питань морського та річкового транспорту, торговельного мореплавства,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в межах компетенції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-гідрографічним забезпеченням мореплавства (крім суден флоту рибної промисловості).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у межах компетенції у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забезпеченні дотримання і виконання зобов’язань, взятих за </w:t>
            </w: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міжнародними договорами України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Підготовка пропозицій керівництву Департаменту та Морської адміністрації щодо укладення, припинення чи зупинення дії, денонсації та приєднання до міжнародних договорів України з питань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-гідрографічного забезпечення мореплавства.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Участь у розробленні та опрацюванні в установленому порядку проектів міжнародних договорів з питань </w:t>
            </w: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у межах компетенції узагальнення практики застосування міжнародного законодавства у сферах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представлення інтересів Морської адміністрації у міжнародних заходах та здійснення інформаційно-аналітичного забезпечення міжнародної діяльності, що стосується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сфери безпеки на морському та річковому транспорті.</w:t>
            </w:r>
          </w:p>
          <w:p w:rsidR="009A055D" w:rsidRPr="009A055D" w:rsidRDefault="009A055D" w:rsidP="00D2229E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9A055D" w:rsidRDefault="009A055D" w:rsidP="00D2229E">
            <w:pPr>
              <w:pStyle w:val="aa"/>
              <w:tabs>
                <w:tab w:val="left" w:pos="567"/>
              </w:tabs>
              <w:spacing w:after="0" w:line="240" w:lineRule="auto"/>
              <w:ind w:left="0" w:firstLine="5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Забезпечення контролю за підготовкою та  здійсненням службових закордонних </w:t>
            </w:r>
            <w:proofErr w:type="spellStart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9A05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керівників, державних службовців та працівників Морської адміністрації</w:t>
            </w:r>
          </w:p>
          <w:p w:rsidR="009A055D" w:rsidRPr="009A055D" w:rsidRDefault="009A055D" w:rsidP="00D2229E">
            <w:pPr>
              <w:pStyle w:val="aa"/>
              <w:tabs>
                <w:tab w:val="left" w:pos="567"/>
              </w:tabs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A055D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7860D1" w:rsidRDefault="009A055D" w:rsidP="009A055D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D2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10010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9A055D" w:rsidRPr="007860D1" w:rsidRDefault="009A055D" w:rsidP="009A05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9A055D" w:rsidRPr="007860D1" w:rsidRDefault="009A055D" w:rsidP="009A05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9A055D" w:rsidRPr="002F6494" w:rsidRDefault="009A055D" w:rsidP="009A05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9A055D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9A055D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9A055D" w:rsidRPr="00A973E2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8)</w:t>
            </w: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A055D" w:rsidRPr="002F6494" w:rsidRDefault="009A055D" w:rsidP="009A0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’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0D6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D6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A055D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вул. Преображенська, 25</w:t>
            </w:r>
          </w:p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A055D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проспект Перемоги, 14, адміністративна будівля Міністерства інфраструктури України. </w:t>
            </w:r>
          </w:p>
          <w:p w:rsidR="009A055D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A055D" w:rsidRPr="00761CD1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A055D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9A055D" w:rsidRPr="009A055D" w:rsidRDefault="00F7200A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9" w:history="1">
              <w:r w:rsidR="009A055D" w:rsidRPr="009A055D">
                <w:rPr>
                  <w:rStyle w:val="af"/>
                  <w:rFonts w:ascii="Times New Roman" w:eastAsia="Arial Unicode MS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hr.c@marad.gov.ua</w:t>
              </w:r>
            </w:hyperlink>
          </w:p>
          <w:p w:rsidR="009A055D" w:rsidRPr="009A055D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A055D" w:rsidRPr="009A055D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A055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9A055D" w:rsidRPr="009A055D" w:rsidRDefault="00F7200A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hyperlink r:id="rId10" w:history="1">
              <w:r w:rsidR="009A055D" w:rsidRPr="009A055D">
                <w:rPr>
                  <w:rStyle w:val="af"/>
                  <w:rFonts w:ascii="Times New Roman" w:eastAsia="Arial Unicode MS" w:hAnsi="Times New Roman" w:cs="Times New Roman"/>
                  <w:bCs/>
                  <w:color w:val="auto"/>
                  <w:sz w:val="28"/>
                  <w:szCs w:val="28"/>
                  <w:lang w:val="uk-UA" w:eastAsia="ru-RU"/>
                </w:rPr>
                <w:t>http://marad.gov.ua/</w:t>
              </w:r>
            </w:hyperlink>
          </w:p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A055D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761CD1" w:rsidRDefault="009A055D" w:rsidP="009A055D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</w:tc>
      </w:tr>
      <w:tr w:rsidR="009A055D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4370CE" w:rsidRDefault="00670308" w:rsidP="009A055D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9A055D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9A055D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9A055D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A055D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A055D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 відповідальність;</w:t>
            </w:r>
          </w:p>
          <w:p w:rsidR="009A055D" w:rsidRPr="002F6494" w:rsidRDefault="009A055D" w:rsidP="009A0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9A055D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9A055D" w:rsidRPr="002F6494" w:rsidRDefault="009A055D" w:rsidP="009A05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9A055D" w:rsidRPr="002F6494" w:rsidRDefault="009A055D" w:rsidP="009A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055D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703768" w:rsidRDefault="009A055D" w:rsidP="009A05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A055D" w:rsidRPr="00703768" w:rsidRDefault="009A055D" w:rsidP="009A05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9A055D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5D" w:rsidRPr="002F6494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9A055D" w:rsidRDefault="009A055D" w:rsidP="009A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центральні органи виконавчої влади»;</w:t>
            </w:r>
          </w:p>
          <w:p w:rsidR="009A055D" w:rsidRPr="009A055D" w:rsidRDefault="009A055D" w:rsidP="009A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очищення влади»;</w:t>
            </w:r>
          </w:p>
          <w:p w:rsidR="009A055D" w:rsidRPr="009A055D" w:rsidRDefault="009A055D" w:rsidP="009A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звернення громадян»;</w:t>
            </w:r>
          </w:p>
          <w:p w:rsidR="009A055D" w:rsidRPr="009A055D" w:rsidRDefault="009A055D" w:rsidP="009A0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доступ до публічної інформації»;</w:t>
            </w:r>
          </w:p>
          <w:p w:rsidR="009A055D" w:rsidRPr="009A055D" w:rsidRDefault="009A055D" w:rsidP="009A0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захист персональних даних»;</w:t>
            </w:r>
          </w:p>
          <w:p w:rsidR="009A055D" w:rsidRPr="009A055D" w:rsidRDefault="009A055D" w:rsidP="009A05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9A055D">
              <w:rPr>
                <w:rFonts w:ascii="Times New Roman" w:hAnsi="Times New Roman"/>
                <w:sz w:val="28"/>
                <w:szCs w:val="28"/>
                <w:lang w:val="uk-UA"/>
              </w:rPr>
              <w:t>«Про міжнародні договори України».</w:t>
            </w:r>
          </w:p>
          <w:p w:rsidR="009A055D" w:rsidRPr="00E310D1" w:rsidRDefault="009A055D" w:rsidP="009A0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55D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2F6494" w:rsidRDefault="009A055D" w:rsidP="009A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301E70" w:rsidRDefault="009A055D" w:rsidP="009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D" w:rsidRPr="00301E70" w:rsidRDefault="009A055D" w:rsidP="009A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65886" w:rsidRDefault="00065886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61CDE" w:rsidRDefault="00461CDE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1E18"/>
    <w:rsid w:val="00005467"/>
    <w:rsid w:val="0000677D"/>
    <w:rsid w:val="00011C34"/>
    <w:rsid w:val="00013BB5"/>
    <w:rsid w:val="00043FC9"/>
    <w:rsid w:val="00052B3A"/>
    <w:rsid w:val="00065886"/>
    <w:rsid w:val="00096888"/>
    <w:rsid w:val="000D34A6"/>
    <w:rsid w:val="000D671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00822"/>
    <w:rsid w:val="00237B29"/>
    <w:rsid w:val="0024615F"/>
    <w:rsid w:val="00260DEB"/>
    <w:rsid w:val="00273826"/>
    <w:rsid w:val="00283E81"/>
    <w:rsid w:val="002A2ADD"/>
    <w:rsid w:val="002D4F5D"/>
    <w:rsid w:val="002F5327"/>
    <w:rsid w:val="002F6494"/>
    <w:rsid w:val="00326A00"/>
    <w:rsid w:val="00347942"/>
    <w:rsid w:val="003506D1"/>
    <w:rsid w:val="00350B54"/>
    <w:rsid w:val="0036403A"/>
    <w:rsid w:val="00364A72"/>
    <w:rsid w:val="00380791"/>
    <w:rsid w:val="003E775A"/>
    <w:rsid w:val="00413DFC"/>
    <w:rsid w:val="00422351"/>
    <w:rsid w:val="004370CE"/>
    <w:rsid w:val="00461CDE"/>
    <w:rsid w:val="00471A72"/>
    <w:rsid w:val="00476B03"/>
    <w:rsid w:val="00483192"/>
    <w:rsid w:val="004A2B74"/>
    <w:rsid w:val="004B467C"/>
    <w:rsid w:val="004B51AA"/>
    <w:rsid w:val="004D3F3B"/>
    <w:rsid w:val="004D66C3"/>
    <w:rsid w:val="0050132C"/>
    <w:rsid w:val="00533F25"/>
    <w:rsid w:val="005A51B2"/>
    <w:rsid w:val="005F6872"/>
    <w:rsid w:val="00614FAB"/>
    <w:rsid w:val="006340C6"/>
    <w:rsid w:val="00670308"/>
    <w:rsid w:val="00685BDF"/>
    <w:rsid w:val="006C193C"/>
    <w:rsid w:val="006E1F9E"/>
    <w:rsid w:val="007071F9"/>
    <w:rsid w:val="00722AC0"/>
    <w:rsid w:val="00733CA9"/>
    <w:rsid w:val="00761CD1"/>
    <w:rsid w:val="00763B9C"/>
    <w:rsid w:val="0077026C"/>
    <w:rsid w:val="007716CF"/>
    <w:rsid w:val="007778A4"/>
    <w:rsid w:val="007860D1"/>
    <w:rsid w:val="007863A5"/>
    <w:rsid w:val="007B2082"/>
    <w:rsid w:val="00804006"/>
    <w:rsid w:val="008068D0"/>
    <w:rsid w:val="00810C05"/>
    <w:rsid w:val="008456E8"/>
    <w:rsid w:val="008706ED"/>
    <w:rsid w:val="008A5740"/>
    <w:rsid w:val="008C5083"/>
    <w:rsid w:val="008F34C8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A055D"/>
    <w:rsid w:val="009B5982"/>
    <w:rsid w:val="009E4112"/>
    <w:rsid w:val="009F1677"/>
    <w:rsid w:val="00A266AA"/>
    <w:rsid w:val="00A271F3"/>
    <w:rsid w:val="00A3304C"/>
    <w:rsid w:val="00A44D7C"/>
    <w:rsid w:val="00AA3BCA"/>
    <w:rsid w:val="00AA5856"/>
    <w:rsid w:val="00AF74DE"/>
    <w:rsid w:val="00B041A8"/>
    <w:rsid w:val="00B267EC"/>
    <w:rsid w:val="00B5171A"/>
    <w:rsid w:val="00B62B66"/>
    <w:rsid w:val="00B96DDB"/>
    <w:rsid w:val="00C0198A"/>
    <w:rsid w:val="00C03FBD"/>
    <w:rsid w:val="00C22A73"/>
    <w:rsid w:val="00C25861"/>
    <w:rsid w:val="00C377EE"/>
    <w:rsid w:val="00C9503F"/>
    <w:rsid w:val="00CE3B61"/>
    <w:rsid w:val="00CE5B2B"/>
    <w:rsid w:val="00D00357"/>
    <w:rsid w:val="00D2229E"/>
    <w:rsid w:val="00D342AE"/>
    <w:rsid w:val="00D50C6A"/>
    <w:rsid w:val="00D51AE0"/>
    <w:rsid w:val="00D63617"/>
    <w:rsid w:val="00D869F3"/>
    <w:rsid w:val="00D916A6"/>
    <w:rsid w:val="00DA7278"/>
    <w:rsid w:val="00DB31C0"/>
    <w:rsid w:val="00DD41D5"/>
    <w:rsid w:val="00E06A13"/>
    <w:rsid w:val="00E25B8F"/>
    <w:rsid w:val="00E310D1"/>
    <w:rsid w:val="00E50F14"/>
    <w:rsid w:val="00E767AC"/>
    <w:rsid w:val="00EB1A60"/>
    <w:rsid w:val="00F34BF7"/>
    <w:rsid w:val="00F559F9"/>
    <w:rsid w:val="00F7200A"/>
    <w:rsid w:val="00F844A9"/>
    <w:rsid w:val="00F94536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B041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1">
    <w:name w:val="Основний текст з відступом Знак"/>
    <w:basedOn w:val="a0"/>
    <w:link w:val="af0"/>
    <w:rsid w:val="00B041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F94536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94536"/>
  </w:style>
  <w:style w:type="paragraph" w:styleId="af4">
    <w:name w:val="Quote"/>
    <w:basedOn w:val="a"/>
    <w:next w:val="a"/>
    <w:link w:val="af5"/>
    <w:uiPriority w:val="29"/>
    <w:qFormat/>
    <w:rsid w:val="00CE3B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Цитата Знак"/>
    <w:basedOn w:val="a0"/>
    <w:link w:val="af4"/>
    <w:uiPriority w:val="29"/>
    <w:rsid w:val="00CE3B61"/>
    <w:rPr>
      <w:i/>
      <w:iCs/>
      <w:color w:val="404040" w:themeColor="text1" w:themeTint="BF"/>
    </w:rPr>
  </w:style>
  <w:style w:type="paragraph" w:styleId="af6">
    <w:name w:val="caption"/>
    <w:basedOn w:val="a"/>
    <w:next w:val="a"/>
    <w:qFormat/>
    <w:rsid w:val="0046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7">
    <w:name w:val="Unresolved Mention"/>
    <w:basedOn w:val="a0"/>
    <w:uiPriority w:val="99"/>
    <w:semiHidden/>
    <w:unhideWhenUsed/>
    <w:rsid w:val="009A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ad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c@mar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CB15-3067-4D9D-94E6-BA81C632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9832</Words>
  <Characters>5605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2019-03-26T11:52:00Z</cp:lastPrinted>
  <dcterms:created xsi:type="dcterms:W3CDTF">2019-03-26T10:42:00Z</dcterms:created>
  <dcterms:modified xsi:type="dcterms:W3CDTF">2019-03-26T14:57:00Z</dcterms:modified>
</cp:coreProperties>
</file>