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924D0A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924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05.09.2018</w:t>
      </w:r>
      <w:r w:rsidR="004D3F3B"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924D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</w:t>
      </w:r>
      <w:r w:rsidR="007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ведення Суднової книги України</w:t>
      </w:r>
      <w:r w:rsidR="0054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Департаменту надання адміністративних послуг</w:t>
      </w:r>
      <w:r w:rsidR="00A22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F84EB9" w:rsidTr="006B49B2">
        <w:trPr>
          <w:trHeight w:val="172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абезпечує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адміністративних послуг;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межах компетенції, здійснює контроль за станом організації та наданням адміністративних послуг у сфері морського, річкового транспорту міжрегіональними територіальними органами Морської адміністрації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надає їм методичні рекомендації;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абезпечує ведення журнал обліку суден (крім риболовних суден), зареєстр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ованих у Судновій книзі України;</w:t>
            </w:r>
          </w:p>
          <w:p w:rsid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абезпечує формування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ведення Суднової книги України;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дійснює в установленому порядку реєстрацію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суден в Судновій книзі України;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дійснює прийом в установленому порядку від фізичних та юридичних осіб документів для надання адміністративної послуги у сфері здійснення реєстраційних дій у Судновій книзі України та організовує роботу з видачі в установленому порядку реєстраційних суднових документів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ласникам (судновласникам) суден;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 організацій (всіх форм власності) адвокатські звернення та звернення громадян, що належать до 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компетенції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дділу, готує проекти відповідей;</w:t>
            </w:r>
          </w:p>
          <w:p w:rsidR="009E6814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отує та надає інформацію для наповнення в мережі Інтернет відповідних інформаційних ресурсів стосовно порядку наданн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адміністративних послуг;</w:t>
            </w:r>
          </w:p>
          <w:p w:rsidR="006B49B2" w:rsidRPr="006B49B2" w:rsidRDefault="006B49B2" w:rsidP="00F65EC4">
            <w:pPr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абезпечує узагальнення практики застосування законодавства з питань надання адміністративних послуг у сфері морського, річкового транспорту та інформатизації</w:t>
            </w:r>
            <w:r w:rsidRPr="006B49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6B49B2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внесення в установленому порядку пропозицій щодо вдосконалення актів законодавства;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межах компетенції узагальнює практику застосування законодавства з питань надання адміністративних послуг у сфері морського, річкового транспорту, підготовка та внесення в установленому порядку пропозицій щодо вдо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сконалення актів законодавства;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абезпечує у межах компетенції розроблення та опрацювання проектів нормативно-правових актів та організаційно-розпорядчих документів Морської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адміністрації та їх погодження;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держує в установленому порядку від посадових осіб структурних підрозділів Морської адміністрації інформацію, документи, довідки, інші матеріали, необхідні для виконан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покладених на Відділ завдань;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алучає, за згодою керівників структурних підрозділів Морської адміністрації, державних службовців та інших працівників для виконанн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завдань, покладених на Відділ;</w:t>
            </w:r>
          </w:p>
          <w:p w:rsidR="006B49B2" w:rsidRPr="006B49B2" w:rsidRDefault="006B49B2" w:rsidP="00F65EC4">
            <w:pPr>
              <w:shd w:val="clear" w:color="auto" w:fill="FFFFFF"/>
              <w:spacing w:after="0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Морської адміністрації приймає участь у засіданнях колегій, інших дорадчих і колегіальних органів, нарадах, які проводяться в Морській адміністрації,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6B49B2" w:rsidRPr="006B49B2" w:rsidRDefault="006B49B2" w:rsidP="00F65EC4">
            <w:pPr>
              <w:shd w:val="clear" w:color="auto" w:fill="FFFFFF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дорученням керівництва Морської адміністрації в установленому порядку представляє </w:t>
            </w:r>
            <w:r w:rsidRPr="006B49B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Відділу.</w:t>
            </w:r>
          </w:p>
        </w:tc>
      </w:tr>
      <w:tr w:rsidR="004D66C3" w:rsidRPr="00F84EB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76B03" w:rsidP="004D66C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F8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bookmarkStart w:id="0" w:name="_GoBack"/>
            <w:bookmarkEnd w:id="0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C5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7500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A44D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A44D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1A5EA8" w:rsidRPr="001A5EA8" w:rsidRDefault="00A44D7C" w:rsidP="00A44D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9E681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F84EB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F65EC4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 копія (копії) документа (документів) про освіту;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 оригінал посвідчення атестації щодо вільного володіння державною мовою; 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 заповнена особова картка встановленого зразка;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A5EA8" w:rsidRDefault="001A5EA8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A5EA8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4D66C3" w:rsidRPr="00722AC0" w:rsidRDefault="00476B0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1A5EA8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 м. Київ, проспект Перемоги, 14</w:t>
            </w:r>
          </w:p>
        </w:tc>
      </w:tr>
      <w:tr w:rsidR="004D66C3" w:rsidRPr="00F84EB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1A5EA8" w:rsidRPr="001A5EA8" w:rsidRDefault="00476B03" w:rsidP="00476B0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25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4D66C3" w:rsidRPr="00F84EB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8" w:rsidRPr="00722AC0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</w:t>
            </w:r>
            <w:proofErr w:type="spellEnd"/>
            <w:r w:rsidR="0099585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</w:t>
            </w: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://marad.gov.ua/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activities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cadrquest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vacan</w:t>
            </w:r>
            <w:proofErr w:type="spellEnd"/>
            <w:r w:rsidR="0099585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</w:p>
          <w:p w:rsidR="004D66C3" w:rsidRPr="00722AC0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F84EB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8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F65E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F84EB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5" w:rsidRDefault="00E63F75" w:rsidP="00E63F7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E63F75" w:rsidRDefault="00E63F75" w:rsidP="00E63F7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E63F75" w:rsidRDefault="00E63F75" w:rsidP="00E63F7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E63F75" w:rsidRDefault="00E63F75" w:rsidP="00E63F7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lastRenderedPageBreak/>
              <w:t xml:space="preserve"> здатність концентруватись на деталях;</w:t>
            </w:r>
          </w:p>
          <w:p w:rsidR="00E63F75" w:rsidRDefault="00E63F75" w:rsidP="00E63F7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E63F75" w:rsidRDefault="00E63F75" w:rsidP="00E63F7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E63F75" w:rsidRDefault="00E63F75" w:rsidP="00E63F7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476B03" w:rsidRPr="00722AC0" w:rsidRDefault="00E63F75" w:rsidP="00F65EC4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F559F9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722AC0" w:rsidRDefault="00F559F9" w:rsidP="00F65EC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76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76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76B0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F84EB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76B0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76B0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76B0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76B0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F84EB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722AC0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722AC0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1" w:rsidRPr="00E53DCF" w:rsidRDefault="00DB6031" w:rsidP="00DB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DB6031" w:rsidRDefault="00DB6031" w:rsidP="00DB6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9E68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DB6031" w:rsidRPr="00483739" w:rsidRDefault="00DB6031" w:rsidP="00DB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адміністративні послуги»;</w:t>
            </w: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6031" w:rsidRPr="00E53DCF" w:rsidRDefault="00DB6031" w:rsidP="00DB6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DB6031" w:rsidRPr="00E53DCF" w:rsidRDefault="00DB6031" w:rsidP="00DB6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доступ до публічної інформації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».</w:t>
            </w:r>
          </w:p>
          <w:p w:rsidR="00476B03" w:rsidRPr="00722AC0" w:rsidRDefault="00476B03" w:rsidP="00722AC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7103" w:rsidRDefault="008A710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7103" w:rsidRPr="00722AC0" w:rsidRDefault="008A710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8706ED" w:rsidRPr="001A5EA8" w:rsidRDefault="00D50C6A" w:rsidP="001A5EA8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A30B26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 П</w:t>
      </w:r>
      <w:r w:rsidR="00A30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sectPr w:rsidR="008706ED" w:rsidRPr="001A5EA8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D6" w:rsidRDefault="008F7AD6" w:rsidP="00D50C6A">
      <w:pPr>
        <w:spacing w:after="0" w:line="240" w:lineRule="auto"/>
      </w:pPr>
      <w:r>
        <w:separator/>
      </w:r>
    </w:p>
  </w:endnote>
  <w:endnote w:type="continuationSeparator" w:id="0">
    <w:p w:rsidR="008F7AD6" w:rsidRDefault="008F7AD6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D6" w:rsidRDefault="008F7AD6" w:rsidP="00D50C6A">
      <w:pPr>
        <w:spacing w:after="0" w:line="240" w:lineRule="auto"/>
      </w:pPr>
      <w:r>
        <w:separator/>
      </w:r>
    </w:p>
  </w:footnote>
  <w:footnote w:type="continuationSeparator" w:id="0">
    <w:p w:rsidR="008F7AD6" w:rsidRDefault="008F7AD6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B9" w:rsidRPr="00F84EB9">
          <w:rPr>
            <w:noProof/>
            <w:lang w:val="ru-RU"/>
          </w:rPr>
          <w:t>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1611F8"/>
    <w:rsid w:val="001676F4"/>
    <w:rsid w:val="001A5EA8"/>
    <w:rsid w:val="001E0A68"/>
    <w:rsid w:val="0028153E"/>
    <w:rsid w:val="002A2ADD"/>
    <w:rsid w:val="002D4F5D"/>
    <w:rsid w:val="00364A72"/>
    <w:rsid w:val="003E775A"/>
    <w:rsid w:val="00476B03"/>
    <w:rsid w:val="004D3F3B"/>
    <w:rsid w:val="004D66C3"/>
    <w:rsid w:val="0054471F"/>
    <w:rsid w:val="00595FEA"/>
    <w:rsid w:val="00650179"/>
    <w:rsid w:val="00664867"/>
    <w:rsid w:val="006B49B2"/>
    <w:rsid w:val="00722AC0"/>
    <w:rsid w:val="007E1CAB"/>
    <w:rsid w:val="008706ED"/>
    <w:rsid w:val="008A7103"/>
    <w:rsid w:val="008F4550"/>
    <w:rsid w:val="008F7AD6"/>
    <w:rsid w:val="00922BE4"/>
    <w:rsid w:val="00924D0A"/>
    <w:rsid w:val="00995856"/>
    <w:rsid w:val="009E6814"/>
    <w:rsid w:val="00A22C1B"/>
    <w:rsid w:val="00A30B26"/>
    <w:rsid w:val="00A44D7C"/>
    <w:rsid w:val="00CE5B2B"/>
    <w:rsid w:val="00D50C6A"/>
    <w:rsid w:val="00DB6031"/>
    <w:rsid w:val="00E63F75"/>
    <w:rsid w:val="00EC5A22"/>
    <w:rsid w:val="00F559F9"/>
    <w:rsid w:val="00F65EC4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449C-9299-4102-A4F3-53A94086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15</cp:revision>
  <cp:lastPrinted>2018-09-05T12:47:00Z</cp:lastPrinted>
  <dcterms:created xsi:type="dcterms:W3CDTF">2018-09-04T11:58:00Z</dcterms:created>
  <dcterms:modified xsi:type="dcterms:W3CDTF">2018-10-05T13:41:00Z</dcterms:modified>
</cp:coreProperties>
</file>