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1" w:rsidRDefault="00FC2721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261884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1884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261884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884" w:rsidRDefault="0037269D" w:rsidP="00261884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проведеного відповідно до наказу Державної служби морського та річкового транспорту України від </w:t>
      </w:r>
      <w:r w:rsidR="00A83087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1884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березня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261884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A83087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261884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оголошення конкурсу на зайняття вакантн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83087" w:rsidRPr="00261884" w:rsidRDefault="00A83087" w:rsidP="00261884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261884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40497C" w:rsidRPr="00261884" w:rsidTr="00A83087">
        <w:trPr>
          <w:trHeight w:val="260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61884" w:rsidRDefault="00A83087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132705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F682F" w:rsidRPr="00261884" w:rsidRDefault="00A83087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– начальник відділу ведення Державного суднового реєстру України Департаменту надання адміністративних послуг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Default="00A83087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БАЛОГ </w:t>
            </w:r>
          </w:p>
          <w:p w:rsidR="00A83087" w:rsidRPr="00261884" w:rsidRDefault="00A83087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61884" w:rsidRDefault="000A4571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61884" w:rsidRDefault="00504A5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0497C" w:rsidRPr="00261884" w:rsidTr="00A83087">
        <w:trPr>
          <w:trHeight w:val="224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61884" w:rsidRDefault="00A83087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132706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261884" w:rsidRDefault="00A83087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– начальник відділу нормативних актів Департаменту правового забезпечення та міжнародних відносин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Default="00A83087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НЕЧИПОРЕНКО </w:t>
            </w:r>
          </w:p>
          <w:p w:rsidR="00A83087" w:rsidRPr="00261884" w:rsidRDefault="00A83087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Сергіївна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61884" w:rsidRDefault="00A83087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61884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61884" w:rsidRPr="00261884" w:rsidTr="00A83087">
        <w:trPr>
          <w:trHeight w:val="1415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61884" w:rsidRPr="00261884" w:rsidRDefault="00A83087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132707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261884" w:rsidRPr="00261884" w:rsidRDefault="00A83087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міжнародних відносин Департаменту правового забезпечення та міжнародних відносин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Pr="008E21ED" w:rsidRDefault="00A83087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ЛУПАЩЕНКО Юрій Анатолійович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261884" w:rsidRDefault="00A83087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261884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61884" w:rsidRPr="00261884" w:rsidTr="00F00D88">
        <w:trPr>
          <w:trHeight w:val="1265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261884" w:rsidRPr="00261884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261884" w:rsidRPr="00261884" w:rsidRDefault="00261884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E21ED" w:rsidRPr="008E21ED" w:rsidRDefault="00A83087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ЛАЗАРЕНКО Тетяна Олександрівна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261884" w:rsidRDefault="00A83087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261884" w:rsidRDefault="00261884" w:rsidP="00261884">
            <w:pPr>
              <w:pStyle w:val="21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A83087" w:rsidRPr="00261884" w:rsidTr="005E6EAE">
        <w:trPr>
          <w:trHeight w:val="2684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A83087" w:rsidRPr="00261884" w:rsidRDefault="00A83087" w:rsidP="005E6E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132708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83087" w:rsidRPr="00261884" w:rsidRDefault="00A83087" w:rsidP="005E6EAE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</w:t>
            </w:r>
            <w:r w:rsidR="001000E2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спеціаліст відділу правової та претензійно-позивної роботи Департаменту правового забезпечення та міжнародних відносин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83087" w:rsidRDefault="00A83087" w:rsidP="005E6E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ЖИТАРЬ </w:t>
            </w:r>
          </w:p>
          <w:p w:rsidR="00A83087" w:rsidRPr="00261884" w:rsidRDefault="00A83087" w:rsidP="005E6E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83087" w:rsidRPr="00261884" w:rsidRDefault="00A83087" w:rsidP="005E6E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83087" w:rsidRPr="00261884" w:rsidRDefault="00A83087" w:rsidP="005E6E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37269D" w:rsidRDefault="0037269D" w:rsidP="0037269D">
      <w:pPr>
        <w:rPr>
          <w:b/>
          <w:sz w:val="28"/>
          <w:szCs w:val="28"/>
          <w:lang w:val="uk-UA"/>
        </w:rPr>
      </w:pPr>
    </w:p>
    <w:p w:rsidR="00A65F4C" w:rsidRPr="00A65F4C" w:rsidRDefault="00261884" w:rsidP="00A830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37269D" w:rsidRPr="00261884" w:rsidRDefault="0037269D" w:rsidP="0037269D">
      <w:pPr>
        <w:rPr>
          <w:b/>
          <w:sz w:val="28"/>
          <w:szCs w:val="28"/>
          <w:lang w:val="uk-UA"/>
        </w:rPr>
      </w:pPr>
    </w:p>
    <w:p w:rsidR="0037269D" w:rsidRPr="00261884" w:rsidRDefault="0037269D" w:rsidP="0037269D">
      <w:pPr>
        <w:rPr>
          <w:sz w:val="28"/>
          <w:szCs w:val="28"/>
          <w:lang w:val="uk-UA"/>
        </w:rPr>
      </w:pPr>
      <w:r w:rsidRPr="00261884">
        <w:rPr>
          <w:sz w:val="28"/>
          <w:szCs w:val="28"/>
          <w:lang w:val="uk-UA"/>
        </w:rPr>
        <w:t>Голов</w:t>
      </w:r>
      <w:r w:rsidR="006A4966">
        <w:rPr>
          <w:sz w:val="28"/>
          <w:szCs w:val="28"/>
          <w:lang w:val="uk-UA"/>
        </w:rPr>
        <w:t>а</w:t>
      </w:r>
      <w:r w:rsidRPr="00261884">
        <w:rPr>
          <w:sz w:val="28"/>
          <w:szCs w:val="28"/>
          <w:lang w:val="uk-UA"/>
        </w:rPr>
        <w:t xml:space="preserve"> </w:t>
      </w:r>
      <w:r w:rsidR="006A4966">
        <w:rPr>
          <w:sz w:val="28"/>
          <w:szCs w:val="28"/>
          <w:lang w:val="uk-UA"/>
        </w:rPr>
        <w:tab/>
      </w:r>
      <w:r w:rsidR="006A4966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  <w:t xml:space="preserve"> Д. </w:t>
      </w:r>
      <w:r w:rsidR="006A4966">
        <w:rPr>
          <w:sz w:val="28"/>
          <w:szCs w:val="28"/>
          <w:lang w:val="uk-UA"/>
        </w:rPr>
        <w:t>ПЕТРЕНКО</w:t>
      </w: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83087" w:rsidRDefault="00A83087" w:rsidP="0037269D">
      <w:pPr>
        <w:spacing w:before="120"/>
        <w:rPr>
          <w:sz w:val="28"/>
          <w:szCs w:val="28"/>
          <w:lang w:val="uk-UA"/>
        </w:rPr>
      </w:pPr>
    </w:p>
    <w:p w:rsidR="00A65F4C" w:rsidRPr="00261884" w:rsidRDefault="00A65F4C" w:rsidP="0037269D">
      <w:pPr>
        <w:spacing w:before="120"/>
        <w:rPr>
          <w:sz w:val="28"/>
          <w:szCs w:val="28"/>
          <w:lang w:val="uk-UA"/>
        </w:rPr>
      </w:pPr>
    </w:p>
    <w:p w:rsidR="00575CBA" w:rsidRPr="00261884" w:rsidRDefault="00575CBA" w:rsidP="000F310C">
      <w:pPr>
        <w:spacing w:before="120"/>
        <w:rPr>
          <w:sz w:val="16"/>
          <w:szCs w:val="28"/>
          <w:lang w:val="uk-UA"/>
        </w:rPr>
      </w:pPr>
    </w:p>
    <w:sectPr w:rsidR="00575CBA" w:rsidRPr="00261884" w:rsidSect="00A65F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D"/>
    <w:rsid w:val="000A4571"/>
    <w:rsid w:val="000F310C"/>
    <w:rsid w:val="001000E2"/>
    <w:rsid w:val="00261884"/>
    <w:rsid w:val="00264293"/>
    <w:rsid w:val="0037269D"/>
    <w:rsid w:val="0040497C"/>
    <w:rsid w:val="00504A5D"/>
    <w:rsid w:val="00575CBA"/>
    <w:rsid w:val="00690CBE"/>
    <w:rsid w:val="006A4966"/>
    <w:rsid w:val="008E21ED"/>
    <w:rsid w:val="009977CE"/>
    <w:rsid w:val="009F1DD7"/>
    <w:rsid w:val="00A65F4C"/>
    <w:rsid w:val="00A83087"/>
    <w:rsid w:val="00BF682F"/>
    <w:rsid w:val="00E32D39"/>
    <w:rsid w:val="00FA6BF9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150F"/>
  <w15:chartTrackingRefBased/>
  <w15:docId w15:val="{B0928207-D919-47CB-9E33-BF16A8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Петровская</dc:creator>
  <cp:keywords/>
  <dc:description/>
  <cp:lastModifiedBy>Антон Курищук</cp:lastModifiedBy>
  <cp:revision>2</cp:revision>
  <cp:lastPrinted>2019-04-16T13:52:00Z</cp:lastPrinted>
  <dcterms:created xsi:type="dcterms:W3CDTF">2019-04-22T14:44:00Z</dcterms:created>
  <dcterms:modified xsi:type="dcterms:W3CDTF">2019-04-22T14:44:00Z</dcterms:modified>
</cp:coreProperties>
</file>